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B7A" w:rsidRPr="00EB3B7A" w:rsidRDefault="00EB3B7A" w:rsidP="00EB3B7A">
      <w:pPr>
        <w:ind w:left="708" w:firstLine="0"/>
        <w:outlineLvl w:val="0"/>
        <w:rPr>
          <w:rFonts w:eastAsia="Batang"/>
          <w:b/>
          <w:bCs/>
          <w:caps/>
          <w:lang w:eastAsia="ko-KR"/>
        </w:rPr>
      </w:pPr>
      <w:bookmarkStart w:id="0" w:name="_Toc174957086"/>
      <w:r w:rsidRPr="00EB3B7A">
        <w:rPr>
          <w:rFonts w:eastAsia="Batang"/>
          <w:b/>
          <w:bCs/>
          <w:caps/>
          <w:lang w:eastAsia="ko-KR"/>
        </w:rPr>
        <w:t>МИНИСТЕРСТВО НА ТРУДА И СОЦИАЛНАТА ПОЛИТИКА (МТСП)</w:t>
      </w:r>
      <w:bookmarkEnd w:id="0"/>
    </w:p>
    <w:p w:rsidR="00EB3B7A" w:rsidRPr="00F414DF" w:rsidRDefault="00EB3B7A" w:rsidP="00EB3B7A">
      <w:pPr>
        <w:widowControl w:val="0"/>
        <w:spacing w:before="0" w:after="0"/>
        <w:jc w:val="both"/>
        <w:rPr>
          <w:b/>
          <w:smallCaps/>
          <w:sz w:val="24"/>
          <w:szCs w:val="24"/>
          <w:lang w:val="ru-RU"/>
        </w:rPr>
      </w:pPr>
      <w:r w:rsidRPr="00F414DF">
        <w:rPr>
          <w:sz w:val="24"/>
          <w:szCs w:val="24"/>
          <w:lang w:eastAsia="en-US"/>
        </w:rPr>
        <w:t>Отчетът на програмния и ориентиран към резултатите бюджет на Министерството на труда и социалната политика (МТСП) към 3</w:t>
      </w:r>
      <w:r w:rsidRPr="00F414DF">
        <w:rPr>
          <w:sz w:val="24"/>
          <w:szCs w:val="24"/>
          <w:lang w:val="ru-RU" w:eastAsia="en-US"/>
        </w:rPr>
        <w:t>1</w:t>
      </w:r>
      <w:r w:rsidRPr="00F414DF">
        <w:rPr>
          <w:sz w:val="24"/>
          <w:szCs w:val="24"/>
          <w:lang w:eastAsia="en-US"/>
        </w:rPr>
        <w:t>.</w:t>
      </w:r>
      <w:r w:rsidRPr="00F414DF">
        <w:rPr>
          <w:sz w:val="24"/>
          <w:szCs w:val="24"/>
          <w:lang w:val="ru-RU" w:eastAsia="en-US"/>
        </w:rPr>
        <w:t>12</w:t>
      </w:r>
      <w:r w:rsidRPr="00F414DF">
        <w:rPr>
          <w:sz w:val="24"/>
          <w:szCs w:val="24"/>
          <w:lang w:eastAsia="en-US"/>
        </w:rPr>
        <w:t>.202</w:t>
      </w:r>
      <w:r w:rsidR="00F40D0B">
        <w:rPr>
          <w:sz w:val="24"/>
          <w:szCs w:val="24"/>
          <w:lang w:eastAsia="en-US"/>
        </w:rPr>
        <w:t>4</w:t>
      </w:r>
      <w:r w:rsidRPr="00F414DF">
        <w:rPr>
          <w:sz w:val="24"/>
          <w:szCs w:val="24"/>
          <w:lang w:eastAsia="en-US"/>
        </w:rPr>
        <w:t xml:space="preserve">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МТСП за 202</w:t>
      </w:r>
      <w:r w:rsidR="00F40D0B">
        <w:rPr>
          <w:sz w:val="24"/>
          <w:szCs w:val="24"/>
          <w:lang w:eastAsia="en-US"/>
        </w:rPr>
        <w:t>4</w:t>
      </w:r>
      <w:r w:rsidRPr="00F414DF">
        <w:rPr>
          <w:sz w:val="24"/>
          <w:szCs w:val="24"/>
          <w:lang w:eastAsia="en-US"/>
        </w:rPr>
        <w:t xml:space="preserve"> г., като първостепенен разпоредител с бюджет</w:t>
      </w:r>
      <w:r w:rsidRPr="00F414DF">
        <w:rPr>
          <w:b/>
          <w:sz w:val="24"/>
          <w:szCs w:val="24"/>
          <w:lang w:eastAsia="en-US"/>
        </w:rPr>
        <w:t>.</w:t>
      </w:r>
      <w:r w:rsidRPr="00F414DF">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Пазара на труда, свободното движение на работници и трудовата миграция; Трудовите отношения; Социалното подпомагане и равнопоставеността на жените и мъжете; Хората с увреждания; Социалното включване и Жизненото равнище, демографското развитие и социалните инвестиции, като</w:t>
      </w:r>
      <w:r w:rsidRPr="00F414DF">
        <w:rPr>
          <w:sz w:val="24"/>
          <w:szCs w:val="24"/>
          <w:lang w:val="ru-RU"/>
        </w:rPr>
        <w:t xml:space="preserve"> идентифицира следните стратегически цели:</w:t>
      </w:r>
    </w:p>
    <w:p w:rsidR="00EB3B7A" w:rsidRPr="00F414DF" w:rsidRDefault="00EB3B7A" w:rsidP="00EB3B7A">
      <w:pPr>
        <w:numPr>
          <w:ilvl w:val="0"/>
          <w:numId w:val="1"/>
        </w:numPr>
        <w:tabs>
          <w:tab w:val="left" w:pos="426"/>
        </w:tabs>
        <w:spacing w:before="0" w:after="0"/>
        <w:jc w:val="both"/>
        <w:rPr>
          <w:sz w:val="24"/>
          <w:szCs w:val="24"/>
        </w:rPr>
      </w:pPr>
      <w:r w:rsidRPr="00F414DF">
        <w:rPr>
          <w:b/>
          <w:sz w:val="24"/>
          <w:szCs w:val="24"/>
          <w:u w:val="single"/>
        </w:rPr>
        <w:t>Политика в областта на пазара на труда, свободното движение на работници и трудовата миграция</w:t>
      </w:r>
      <w:r w:rsidRPr="00F414DF">
        <w:rPr>
          <w:b/>
          <w:sz w:val="24"/>
          <w:szCs w:val="24"/>
        </w:rPr>
        <w:t xml:space="preserve">  </w:t>
      </w:r>
    </w:p>
    <w:p w:rsidR="00EB3B7A" w:rsidRPr="00F414DF" w:rsidRDefault="00EB3B7A" w:rsidP="00EB3B7A">
      <w:pPr>
        <w:spacing w:before="0" w:after="0"/>
        <w:jc w:val="both"/>
        <w:rPr>
          <w:sz w:val="24"/>
          <w:szCs w:val="24"/>
        </w:rPr>
      </w:pPr>
      <w:r w:rsidRPr="00F414DF">
        <w:rPr>
          <w:sz w:val="24"/>
          <w:szCs w:val="24"/>
        </w:rPr>
        <w:t>Осигуряване на повече и по-квалифицирана работна сила и интегриране на пазара на труда на безработните и неактивните лица в трудоспособна възраст.</w:t>
      </w:r>
    </w:p>
    <w:p w:rsidR="00EB3B7A" w:rsidRPr="00F414DF" w:rsidRDefault="00EB3B7A" w:rsidP="00EB3B7A">
      <w:pPr>
        <w:numPr>
          <w:ilvl w:val="0"/>
          <w:numId w:val="1"/>
        </w:numPr>
        <w:spacing w:before="0" w:after="0"/>
        <w:jc w:val="both"/>
        <w:rPr>
          <w:b/>
          <w:sz w:val="24"/>
          <w:szCs w:val="24"/>
        </w:rPr>
      </w:pPr>
      <w:r w:rsidRPr="00F414DF">
        <w:rPr>
          <w:b/>
          <w:sz w:val="24"/>
          <w:szCs w:val="24"/>
          <w:u w:val="single"/>
        </w:rPr>
        <w:t>Политика в областта на трудовите отношения</w:t>
      </w:r>
      <w:r w:rsidRPr="00F414DF">
        <w:rPr>
          <w:b/>
          <w:sz w:val="24"/>
          <w:szCs w:val="24"/>
        </w:rPr>
        <w:t xml:space="preserve">  </w:t>
      </w:r>
    </w:p>
    <w:p w:rsidR="00EB3B7A" w:rsidRPr="00F414DF" w:rsidRDefault="00EB3B7A" w:rsidP="00EB3B7A">
      <w:pPr>
        <w:spacing w:before="0" w:after="0"/>
        <w:jc w:val="both"/>
        <w:rPr>
          <w:sz w:val="24"/>
          <w:szCs w:val="24"/>
        </w:rPr>
      </w:pPr>
      <w:r w:rsidRPr="00F414DF">
        <w:rPr>
          <w:sz w:val="24"/>
          <w:szCs w:val="24"/>
        </w:rPr>
        <w:t>Повишаване на качеството и сигурността на труда и защита на правата на българите зад граница в областта на социалната сигурност.</w:t>
      </w:r>
    </w:p>
    <w:p w:rsidR="00EB3B7A" w:rsidRPr="00F414DF" w:rsidRDefault="00EB3B7A" w:rsidP="00EB3B7A">
      <w:pPr>
        <w:numPr>
          <w:ilvl w:val="0"/>
          <w:numId w:val="1"/>
        </w:numPr>
        <w:tabs>
          <w:tab w:val="left" w:pos="426"/>
        </w:tabs>
        <w:spacing w:before="0" w:after="0"/>
        <w:jc w:val="both"/>
        <w:rPr>
          <w:sz w:val="24"/>
          <w:szCs w:val="24"/>
        </w:rPr>
      </w:pPr>
      <w:r w:rsidRPr="00F414DF">
        <w:rPr>
          <w:b/>
          <w:sz w:val="24"/>
          <w:szCs w:val="24"/>
          <w:u w:val="single"/>
        </w:rPr>
        <w:t>Политика в областта на социалното подпомагане и равнопоставеността на жените и мъжете</w:t>
      </w:r>
    </w:p>
    <w:p w:rsidR="00EB3B7A" w:rsidRPr="00F414DF" w:rsidRDefault="00EB3B7A" w:rsidP="00EB3B7A">
      <w:pPr>
        <w:tabs>
          <w:tab w:val="left" w:pos="426"/>
        </w:tabs>
        <w:spacing w:before="0" w:after="0"/>
        <w:jc w:val="both"/>
        <w:rPr>
          <w:sz w:val="24"/>
          <w:szCs w:val="24"/>
        </w:rPr>
      </w:pPr>
      <w:r w:rsidRPr="00F414DF">
        <w:rPr>
          <w:sz w:val="24"/>
          <w:szCs w:val="24"/>
        </w:rPr>
        <w:t>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и насърчаване на равнопоставеността на жените и мъжете в различни сфери на обществения живот</w:t>
      </w:r>
    </w:p>
    <w:p w:rsidR="00EB3B7A" w:rsidRPr="00F414DF" w:rsidRDefault="00EB3B7A" w:rsidP="00EB3B7A">
      <w:pPr>
        <w:numPr>
          <w:ilvl w:val="0"/>
          <w:numId w:val="1"/>
        </w:numPr>
        <w:tabs>
          <w:tab w:val="left" w:pos="426"/>
        </w:tabs>
        <w:spacing w:before="0" w:after="0"/>
        <w:jc w:val="both"/>
        <w:rPr>
          <w:sz w:val="24"/>
          <w:szCs w:val="24"/>
        </w:rPr>
      </w:pPr>
      <w:r w:rsidRPr="00F414DF">
        <w:rPr>
          <w:b/>
          <w:sz w:val="24"/>
          <w:szCs w:val="24"/>
          <w:u w:val="single"/>
        </w:rPr>
        <w:t>Политика в областта на хората с увреждания</w:t>
      </w:r>
    </w:p>
    <w:p w:rsidR="00EB3B7A" w:rsidRPr="00F414DF" w:rsidRDefault="00EB3B7A" w:rsidP="00EB3B7A">
      <w:pPr>
        <w:tabs>
          <w:tab w:val="left" w:pos="426"/>
        </w:tabs>
        <w:spacing w:before="0" w:after="0"/>
        <w:jc w:val="both"/>
        <w:rPr>
          <w:sz w:val="24"/>
          <w:szCs w:val="24"/>
        </w:rPr>
      </w:pPr>
      <w:r w:rsidRPr="00F414DF">
        <w:rPr>
          <w:sz w:val="24"/>
          <w:szCs w:val="24"/>
        </w:rPr>
        <w:t>Социално приобщаване на хората с увреждания във всички области чрез създаване на условия и гаранции за равнопоставеност и упражняване на права, при стриктното придържане към индивидуалния подход на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изпълнение на националните ангажименти по прилагане на изискванията на Конвенцията за правата на хората с увреждания на ООН.</w:t>
      </w:r>
    </w:p>
    <w:p w:rsidR="00EB3B7A" w:rsidRPr="00F414DF" w:rsidRDefault="00EB3B7A" w:rsidP="00EB3B7A">
      <w:pPr>
        <w:numPr>
          <w:ilvl w:val="0"/>
          <w:numId w:val="1"/>
        </w:numPr>
        <w:tabs>
          <w:tab w:val="left" w:pos="426"/>
        </w:tabs>
        <w:spacing w:before="0" w:after="0"/>
        <w:jc w:val="both"/>
        <w:rPr>
          <w:sz w:val="24"/>
          <w:szCs w:val="24"/>
        </w:rPr>
      </w:pPr>
      <w:r w:rsidRPr="00F414DF">
        <w:rPr>
          <w:b/>
          <w:sz w:val="24"/>
          <w:szCs w:val="24"/>
          <w:u w:val="single"/>
        </w:rPr>
        <w:t>Политика в областта на социалното включване</w:t>
      </w:r>
    </w:p>
    <w:p w:rsidR="00EB3B7A" w:rsidRPr="00F414DF" w:rsidRDefault="00EB3B7A" w:rsidP="00EB3B7A">
      <w:pPr>
        <w:tabs>
          <w:tab w:val="left" w:pos="426"/>
        </w:tabs>
        <w:spacing w:before="0" w:after="0"/>
        <w:jc w:val="both"/>
        <w:rPr>
          <w:sz w:val="24"/>
          <w:szCs w:val="24"/>
        </w:rPr>
      </w:pPr>
      <w:r w:rsidRPr="00F414DF">
        <w:rPr>
          <w:sz w:val="24"/>
          <w:szCs w:val="24"/>
        </w:rPr>
        <w:t>Прилагане на комплексни политики за превенция на бедността и насърчаване на социалното включване, чрез осигуряване на устойчиви, качествени и достъпни социални услуги и осигуряване на материална подкрепа за лицата и семействата, които полагат грижи за деца.</w:t>
      </w:r>
    </w:p>
    <w:p w:rsidR="00EB3B7A" w:rsidRPr="00F414DF" w:rsidRDefault="00EB3B7A" w:rsidP="00EB3B7A">
      <w:pPr>
        <w:numPr>
          <w:ilvl w:val="0"/>
          <w:numId w:val="1"/>
        </w:numPr>
        <w:tabs>
          <w:tab w:val="left" w:pos="426"/>
        </w:tabs>
        <w:spacing w:before="0" w:after="0"/>
        <w:jc w:val="both"/>
        <w:rPr>
          <w:sz w:val="24"/>
          <w:szCs w:val="24"/>
        </w:rPr>
      </w:pPr>
      <w:r w:rsidRPr="00F414DF">
        <w:rPr>
          <w:b/>
          <w:sz w:val="24"/>
          <w:szCs w:val="24"/>
          <w:u w:val="single"/>
        </w:rPr>
        <w:t>Политика в областта на жизненото равнище, демографското развитие и социалните инвестиции</w:t>
      </w:r>
    </w:p>
    <w:p w:rsidR="00EB3B7A" w:rsidRPr="00F414DF" w:rsidRDefault="00EB3B7A" w:rsidP="00EB3B7A">
      <w:pPr>
        <w:tabs>
          <w:tab w:val="left" w:pos="426"/>
        </w:tabs>
        <w:spacing w:before="0" w:after="0"/>
        <w:jc w:val="both"/>
        <w:rPr>
          <w:sz w:val="24"/>
          <w:szCs w:val="24"/>
        </w:rPr>
      </w:pPr>
      <w:r w:rsidRPr="00F414DF">
        <w:rPr>
          <w:sz w:val="24"/>
          <w:szCs w:val="24"/>
        </w:rPr>
        <w:t>Изграждане на политика, основана на партньорство между гражданите, бизнеса, нестопанските организации, социалните партньори и държавата; подобряване на качеството на живот на групи от населението; устойчиво нарастване на доходите и повишаването на жизнения стандарт.</w:t>
      </w:r>
    </w:p>
    <w:p w:rsidR="00EB3B7A" w:rsidRPr="00F414DF" w:rsidRDefault="00EB3B7A" w:rsidP="00EB3B7A">
      <w:pPr>
        <w:tabs>
          <w:tab w:val="left" w:pos="426"/>
        </w:tabs>
        <w:spacing w:before="0" w:after="0"/>
        <w:jc w:val="both"/>
        <w:rPr>
          <w:sz w:val="24"/>
          <w:szCs w:val="24"/>
        </w:rPr>
      </w:pPr>
      <w:r w:rsidRPr="00F414DF">
        <w:rPr>
          <w:sz w:val="24"/>
          <w:szCs w:val="24"/>
        </w:rPr>
        <w:t>В таблицата по-долу е представен преглед на общите разходи по бюджета на МТСП към 3</w:t>
      </w:r>
      <w:r w:rsidRPr="00F414DF">
        <w:rPr>
          <w:sz w:val="24"/>
          <w:szCs w:val="24"/>
          <w:lang w:val="ru-RU"/>
        </w:rPr>
        <w:t>1</w:t>
      </w:r>
      <w:r w:rsidRPr="00F414DF">
        <w:rPr>
          <w:sz w:val="24"/>
          <w:szCs w:val="24"/>
        </w:rPr>
        <w:t>.</w:t>
      </w:r>
      <w:r w:rsidRPr="00F414DF">
        <w:rPr>
          <w:sz w:val="24"/>
          <w:szCs w:val="24"/>
          <w:lang w:val="ru-RU"/>
        </w:rPr>
        <w:t>12</w:t>
      </w:r>
      <w:r w:rsidRPr="00F414DF">
        <w:rPr>
          <w:sz w:val="24"/>
          <w:szCs w:val="24"/>
        </w:rPr>
        <w:t>.202</w:t>
      </w:r>
      <w:r w:rsidR="00F40D0B">
        <w:rPr>
          <w:sz w:val="24"/>
          <w:szCs w:val="24"/>
        </w:rPr>
        <w:t>4</w:t>
      </w:r>
      <w:r w:rsidRPr="00F414DF">
        <w:rPr>
          <w:sz w:val="24"/>
          <w:szCs w:val="24"/>
        </w:rPr>
        <w:t xml:space="preserve"> г. по програми в рамките на изпълняваните политики:</w:t>
      </w:r>
    </w:p>
    <w:p w:rsidR="00EB3B7A" w:rsidRPr="00F414DF" w:rsidRDefault="00EB3B7A" w:rsidP="00EB3B7A">
      <w:pPr>
        <w:ind w:firstLine="0"/>
        <w:jc w:val="center"/>
        <w:rPr>
          <w:rFonts w:eastAsiaTheme="minorHAnsi"/>
          <w:b/>
          <w:sz w:val="24"/>
          <w:szCs w:val="24"/>
          <w:lang w:eastAsia="en-US"/>
        </w:rPr>
      </w:pPr>
    </w:p>
    <w:p w:rsidR="00EB3B7A" w:rsidRDefault="00EB3B7A" w:rsidP="00EB3B7A">
      <w:pPr>
        <w:spacing w:before="0" w:after="0"/>
        <w:ind w:firstLine="0"/>
        <w:jc w:val="center"/>
        <w:rPr>
          <w:rFonts w:eastAsiaTheme="minorHAnsi"/>
          <w:b/>
          <w:sz w:val="24"/>
          <w:szCs w:val="24"/>
          <w:lang w:eastAsia="en-US"/>
        </w:rPr>
      </w:pPr>
      <w:r w:rsidRPr="00F414DF">
        <w:rPr>
          <w:rFonts w:eastAsiaTheme="minorHAnsi"/>
          <w:b/>
          <w:sz w:val="24"/>
          <w:szCs w:val="24"/>
          <w:lang w:eastAsia="en-US"/>
        </w:rPr>
        <w:lastRenderedPageBreak/>
        <w:t>Отчет на разходите по области на политики и бюджетни програми по бюджета на Министерството на труда и социалната политика</w:t>
      </w:r>
    </w:p>
    <w:p w:rsidR="00F40D0B" w:rsidRDefault="00F40D0B" w:rsidP="00EB3B7A">
      <w:pPr>
        <w:spacing w:before="0" w:after="0"/>
        <w:ind w:firstLine="0"/>
        <w:jc w:val="center"/>
        <w:rPr>
          <w:rFonts w:eastAsiaTheme="minorHAnsi"/>
          <w:b/>
          <w:sz w:val="24"/>
          <w:szCs w:val="24"/>
          <w:lang w:eastAsia="en-US"/>
        </w:rPr>
      </w:pPr>
    </w:p>
    <w:tbl>
      <w:tblPr>
        <w:tblW w:w="5000" w:type="pct"/>
        <w:tblCellMar>
          <w:left w:w="70" w:type="dxa"/>
          <w:right w:w="70" w:type="dxa"/>
        </w:tblCellMar>
        <w:tblLook w:val="04A0" w:firstRow="1" w:lastRow="0" w:firstColumn="1" w:lastColumn="0" w:noHBand="0" w:noVBand="1"/>
      </w:tblPr>
      <w:tblGrid>
        <w:gridCol w:w="459"/>
        <w:gridCol w:w="4640"/>
        <w:gridCol w:w="1541"/>
        <w:gridCol w:w="1201"/>
        <w:gridCol w:w="1221"/>
      </w:tblGrid>
      <w:tr w:rsidR="00F40D0B" w:rsidRPr="00F40D0B" w:rsidTr="00F40D0B">
        <w:trPr>
          <w:trHeight w:val="750"/>
        </w:trPr>
        <w:tc>
          <w:tcPr>
            <w:tcW w:w="76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F40D0B" w:rsidRPr="00F40D0B" w:rsidRDefault="00F40D0B" w:rsidP="00F40D0B">
            <w:pPr>
              <w:spacing w:before="0" w:after="0"/>
              <w:ind w:firstLine="0"/>
              <w:jc w:val="center"/>
              <w:rPr>
                <w:b/>
                <w:bCs/>
              </w:rPr>
            </w:pPr>
            <w:r w:rsidRPr="00F40D0B">
              <w:rPr>
                <w:b/>
                <w:bCs/>
              </w:rPr>
              <w:t>№</w:t>
            </w:r>
          </w:p>
        </w:tc>
        <w:tc>
          <w:tcPr>
            <w:tcW w:w="888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F40D0B" w:rsidRPr="00F40D0B" w:rsidRDefault="00F40D0B" w:rsidP="00F40D0B">
            <w:pPr>
              <w:spacing w:before="0" w:after="0"/>
              <w:ind w:firstLine="0"/>
              <w:jc w:val="center"/>
              <w:rPr>
                <w:b/>
                <w:bCs/>
              </w:rPr>
            </w:pPr>
            <w:r w:rsidRPr="00F40D0B">
              <w:rPr>
                <w:b/>
                <w:bCs/>
              </w:rPr>
              <w:t>Наименование на областта на политика/бюджетната програма</w:t>
            </w:r>
          </w:p>
        </w:tc>
        <w:tc>
          <w:tcPr>
            <w:tcW w:w="7300" w:type="dxa"/>
            <w:gridSpan w:val="3"/>
            <w:tcBorders>
              <w:top w:val="single" w:sz="4" w:space="0" w:color="auto"/>
              <w:left w:val="nil"/>
              <w:bottom w:val="single" w:sz="4" w:space="0" w:color="auto"/>
              <w:right w:val="single" w:sz="4" w:space="0" w:color="auto"/>
            </w:tcBorders>
            <w:shd w:val="clear" w:color="D9D9D9" w:fill="E6E6E6"/>
            <w:noWrap/>
            <w:vAlign w:val="center"/>
            <w:hideMark/>
          </w:tcPr>
          <w:p w:rsidR="00F40D0B" w:rsidRPr="00F40D0B" w:rsidRDefault="00F40D0B" w:rsidP="00F40D0B">
            <w:pPr>
              <w:spacing w:before="0" w:after="0"/>
              <w:ind w:firstLine="0"/>
              <w:jc w:val="center"/>
              <w:rPr>
                <w:b/>
                <w:bCs/>
              </w:rPr>
            </w:pPr>
            <w:r w:rsidRPr="00F40D0B">
              <w:rPr>
                <w:b/>
                <w:bCs/>
              </w:rPr>
              <w:t>Разходи (в хил. лв.)</w:t>
            </w:r>
          </w:p>
        </w:tc>
      </w:tr>
      <w:tr w:rsidR="00F40D0B" w:rsidRPr="00F40D0B" w:rsidTr="00F40D0B">
        <w:trPr>
          <w:trHeight w:val="645"/>
        </w:trPr>
        <w:tc>
          <w:tcPr>
            <w:tcW w:w="760" w:type="dxa"/>
            <w:vMerge/>
            <w:tcBorders>
              <w:top w:val="single" w:sz="4" w:space="0" w:color="auto"/>
              <w:left w:val="single" w:sz="4" w:space="0" w:color="auto"/>
              <w:bottom w:val="single" w:sz="4" w:space="0" w:color="000000"/>
              <w:right w:val="single" w:sz="4" w:space="0" w:color="auto"/>
            </w:tcBorders>
            <w:vAlign w:val="center"/>
            <w:hideMark/>
          </w:tcPr>
          <w:p w:rsidR="00F40D0B" w:rsidRPr="00F40D0B" w:rsidRDefault="00F40D0B" w:rsidP="00F40D0B">
            <w:pPr>
              <w:spacing w:before="0" w:after="0"/>
              <w:ind w:firstLine="0"/>
              <w:rPr>
                <w:b/>
                <w:bCs/>
              </w:rPr>
            </w:pPr>
          </w:p>
        </w:tc>
        <w:tc>
          <w:tcPr>
            <w:tcW w:w="8880" w:type="dxa"/>
            <w:vMerge/>
            <w:tcBorders>
              <w:top w:val="single" w:sz="4" w:space="0" w:color="auto"/>
              <w:left w:val="single" w:sz="4" w:space="0" w:color="auto"/>
              <w:bottom w:val="single" w:sz="4" w:space="0" w:color="000000"/>
              <w:right w:val="single" w:sz="4" w:space="0" w:color="auto"/>
            </w:tcBorders>
            <w:vAlign w:val="center"/>
            <w:hideMark/>
          </w:tcPr>
          <w:p w:rsidR="00F40D0B" w:rsidRPr="00F40D0B" w:rsidRDefault="00F40D0B" w:rsidP="00F40D0B">
            <w:pPr>
              <w:spacing w:before="0" w:after="0"/>
              <w:ind w:firstLine="0"/>
              <w:rPr>
                <w:b/>
                <w:bCs/>
              </w:rPr>
            </w:pPr>
          </w:p>
        </w:tc>
        <w:tc>
          <w:tcPr>
            <w:tcW w:w="2860" w:type="dxa"/>
            <w:tcBorders>
              <w:top w:val="nil"/>
              <w:left w:val="nil"/>
              <w:bottom w:val="single" w:sz="4" w:space="0" w:color="auto"/>
              <w:right w:val="single" w:sz="4" w:space="0" w:color="auto"/>
            </w:tcBorders>
            <w:shd w:val="clear" w:color="D9D9D9" w:fill="E6E6E6"/>
            <w:vAlign w:val="center"/>
            <w:hideMark/>
          </w:tcPr>
          <w:p w:rsidR="00F40D0B" w:rsidRPr="00F40D0B" w:rsidRDefault="00F40D0B" w:rsidP="00F40D0B">
            <w:pPr>
              <w:spacing w:before="0" w:after="0"/>
              <w:ind w:firstLine="0"/>
              <w:jc w:val="center"/>
              <w:rPr>
                <w:b/>
                <w:bCs/>
              </w:rPr>
            </w:pPr>
            <w:r w:rsidRPr="00F40D0B">
              <w:rPr>
                <w:b/>
                <w:bCs/>
              </w:rPr>
              <w:t>Закон</w:t>
            </w:r>
          </w:p>
        </w:tc>
        <w:tc>
          <w:tcPr>
            <w:tcW w:w="2200" w:type="dxa"/>
            <w:tcBorders>
              <w:top w:val="nil"/>
              <w:left w:val="nil"/>
              <w:bottom w:val="single" w:sz="4" w:space="0" w:color="auto"/>
              <w:right w:val="single" w:sz="4" w:space="0" w:color="auto"/>
            </w:tcBorders>
            <w:shd w:val="clear" w:color="D9D9D9" w:fill="E6E6E6"/>
            <w:vAlign w:val="center"/>
            <w:hideMark/>
          </w:tcPr>
          <w:p w:rsidR="00F40D0B" w:rsidRPr="00F40D0B" w:rsidRDefault="00F40D0B" w:rsidP="00F40D0B">
            <w:pPr>
              <w:spacing w:before="0" w:after="0"/>
              <w:ind w:firstLine="0"/>
              <w:jc w:val="center"/>
              <w:rPr>
                <w:b/>
                <w:bCs/>
              </w:rPr>
            </w:pPr>
            <w:r w:rsidRPr="00F40D0B">
              <w:rPr>
                <w:b/>
                <w:bCs/>
              </w:rPr>
              <w:t>Уточнен</w:t>
            </w:r>
            <w:r w:rsidRPr="00F40D0B">
              <w:rPr>
                <w:b/>
                <w:bCs/>
              </w:rPr>
              <w:br/>
              <w:t>план</w:t>
            </w:r>
          </w:p>
        </w:tc>
        <w:tc>
          <w:tcPr>
            <w:tcW w:w="2240" w:type="dxa"/>
            <w:tcBorders>
              <w:top w:val="nil"/>
              <w:left w:val="nil"/>
              <w:bottom w:val="single" w:sz="4" w:space="0" w:color="auto"/>
              <w:right w:val="single" w:sz="4" w:space="0" w:color="auto"/>
            </w:tcBorders>
            <w:shd w:val="clear" w:color="D9D9D9" w:fill="E6E6E6"/>
            <w:vAlign w:val="center"/>
            <w:hideMark/>
          </w:tcPr>
          <w:p w:rsidR="00F40D0B" w:rsidRPr="00F40D0B" w:rsidRDefault="00F40D0B" w:rsidP="00F40D0B">
            <w:pPr>
              <w:spacing w:before="0" w:after="0"/>
              <w:ind w:firstLine="0"/>
              <w:jc w:val="center"/>
              <w:rPr>
                <w:b/>
                <w:bCs/>
              </w:rPr>
            </w:pPr>
            <w:r w:rsidRPr="00F40D0B">
              <w:rPr>
                <w:b/>
                <w:bCs/>
              </w:rPr>
              <w:t>Отчет</w:t>
            </w:r>
          </w:p>
        </w:tc>
      </w:tr>
      <w:tr w:rsidR="00F40D0B" w:rsidRPr="00F40D0B" w:rsidTr="00F40D0B">
        <w:trPr>
          <w:trHeight w:val="64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1.</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100" w:firstLine="200"/>
              <w:rPr>
                <w:b/>
                <w:bCs/>
                <w:color w:val="000000"/>
              </w:rPr>
            </w:pPr>
            <w:r w:rsidRPr="00F40D0B">
              <w:rPr>
                <w:b/>
                <w:bCs/>
                <w:color w:val="000000"/>
              </w:rPr>
              <w:t>Политика в областта на пазара на труда, свободното движение на работници и трудовата миграция</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154 845,3</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111 779,5</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87 311,1</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1.1.</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200" w:firstLine="400"/>
              <w:rPr>
                <w:color w:val="000000"/>
              </w:rPr>
            </w:pPr>
            <w:r w:rsidRPr="00F40D0B">
              <w:rPr>
                <w:color w:val="000000"/>
              </w:rPr>
              <w:t>Бюджетна програма „Активна политика на пазара на труда“</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154 493,9</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111 467,6</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86 999,2</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1.2.</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200" w:firstLine="400"/>
              <w:rPr>
                <w:color w:val="000000"/>
              </w:rPr>
            </w:pPr>
            <w:r w:rsidRPr="00F40D0B">
              <w:rPr>
                <w:color w:val="000000"/>
              </w:rPr>
              <w:t>Бюджетна програма „Свободно движение на работници и трудова миграция“</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351,4</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311,9</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311,9</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2.</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100" w:firstLine="200"/>
              <w:rPr>
                <w:b/>
                <w:bCs/>
                <w:color w:val="000000"/>
              </w:rPr>
            </w:pPr>
            <w:r w:rsidRPr="00F40D0B">
              <w:rPr>
                <w:b/>
                <w:bCs/>
                <w:color w:val="000000"/>
              </w:rPr>
              <w:t>Политика в областта на трудовите отношения</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32 116,4</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32 549,6</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32 165,5</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2.1.</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200" w:firstLine="400"/>
              <w:rPr>
                <w:color w:val="000000"/>
              </w:rPr>
            </w:pPr>
            <w:r w:rsidRPr="00F40D0B">
              <w:rPr>
                <w:color w:val="000000"/>
              </w:rPr>
              <w:t>Бюджетна програма „Осигуряване на подходящи условия на труд“</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32 116,4</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32 549,6</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32 165,5</w:t>
            </w:r>
          </w:p>
        </w:tc>
      </w:tr>
      <w:tr w:rsidR="00F40D0B" w:rsidRPr="00F40D0B" w:rsidTr="00F40D0B">
        <w:trPr>
          <w:trHeight w:val="64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3.</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100" w:firstLine="200"/>
              <w:rPr>
                <w:b/>
                <w:bCs/>
                <w:color w:val="000000"/>
              </w:rPr>
            </w:pPr>
            <w:r w:rsidRPr="00F40D0B">
              <w:rPr>
                <w:b/>
                <w:bCs/>
                <w:color w:val="000000"/>
              </w:rPr>
              <w:t xml:space="preserve">Политика в областта на социалното подпомагане и равнопоставеността на жените и мъжете </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398 755,6</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367 697,4</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367 675,8</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3.1.</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200" w:firstLine="400"/>
              <w:rPr>
                <w:color w:val="000000"/>
              </w:rPr>
            </w:pPr>
            <w:r w:rsidRPr="00F40D0B">
              <w:rPr>
                <w:color w:val="000000"/>
              </w:rPr>
              <w:t>Бюджетна програма „Социални помощи“</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398 580,0</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367 516,6</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367 495,0</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3.2.</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200" w:firstLine="400"/>
              <w:rPr>
                <w:color w:val="000000"/>
              </w:rPr>
            </w:pPr>
            <w:r w:rsidRPr="00F40D0B">
              <w:rPr>
                <w:color w:val="000000"/>
              </w:rPr>
              <w:t>Бюджетна програма „Равнопоставеност на жените и мъжете“</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175,6</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180,8</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180,8</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4.</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100" w:firstLine="200"/>
              <w:rPr>
                <w:b/>
                <w:bCs/>
                <w:color w:val="000000"/>
              </w:rPr>
            </w:pPr>
            <w:r w:rsidRPr="00F40D0B">
              <w:rPr>
                <w:b/>
                <w:bCs/>
                <w:color w:val="000000"/>
              </w:rPr>
              <w:t>Политика в областта на хората с увреждания</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1 494 897,6</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732 410,2</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731 144,8</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4.1.</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200" w:firstLine="400"/>
              <w:rPr>
                <w:color w:val="000000"/>
              </w:rPr>
            </w:pPr>
            <w:r w:rsidRPr="00F40D0B">
              <w:rPr>
                <w:color w:val="000000"/>
              </w:rPr>
              <w:t>Бюджетна програма „Подкрепа на и за хората с увреждания“</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1 494 897,6</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732 410,2</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731 144,8</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5.</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100" w:firstLine="200"/>
              <w:rPr>
                <w:b/>
                <w:bCs/>
                <w:color w:val="000000"/>
              </w:rPr>
            </w:pPr>
            <w:r w:rsidRPr="00F40D0B">
              <w:rPr>
                <w:b/>
                <w:bCs/>
                <w:color w:val="000000"/>
              </w:rPr>
              <w:t>Политика в областта на социалното включване</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767 504,8</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770 307,2</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770 142,3</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5.1.</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200" w:firstLine="400"/>
              <w:rPr>
                <w:color w:val="000000"/>
              </w:rPr>
            </w:pPr>
            <w:r w:rsidRPr="00F40D0B">
              <w:rPr>
                <w:color w:val="000000"/>
              </w:rPr>
              <w:t>Бюджетна програма „Подкрепа за децата и семействата“</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767 504,8</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770 307,2</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770 142,3</w:t>
            </w:r>
          </w:p>
        </w:tc>
      </w:tr>
      <w:tr w:rsidR="00F40D0B" w:rsidRPr="00F40D0B" w:rsidTr="00F40D0B">
        <w:trPr>
          <w:trHeight w:val="64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6.</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100" w:firstLine="200"/>
              <w:rPr>
                <w:b/>
                <w:bCs/>
                <w:color w:val="000000"/>
              </w:rPr>
            </w:pPr>
            <w:r w:rsidRPr="00F40D0B">
              <w:rPr>
                <w:b/>
                <w:bCs/>
                <w:color w:val="000000"/>
              </w:rPr>
              <w:t>Политика в областта на жизненото равнище, демографското развитие и социалните инвестиции</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1 225,6</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976,2</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963,7</w:t>
            </w:r>
          </w:p>
        </w:tc>
      </w:tr>
      <w:tr w:rsidR="00F40D0B" w:rsidRPr="00F40D0B" w:rsidTr="00F40D0B">
        <w:trPr>
          <w:trHeight w:val="64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6.1.</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200" w:firstLine="400"/>
              <w:rPr>
                <w:color w:val="000000"/>
              </w:rPr>
            </w:pPr>
            <w:r w:rsidRPr="00F40D0B">
              <w:rPr>
                <w:color w:val="000000"/>
              </w:rPr>
              <w:t>Бюджетна програма „Насърчаване, координация и мониторинг на демографското развитие, жизненото равнище и доходите от труд“</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554,3</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422,6</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422,6</w:t>
            </w:r>
          </w:p>
        </w:tc>
      </w:tr>
      <w:tr w:rsidR="00F40D0B" w:rsidRPr="00F40D0B" w:rsidTr="00F40D0B">
        <w:trPr>
          <w:trHeight w:val="64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6.2.</w:t>
            </w:r>
          </w:p>
        </w:tc>
        <w:tc>
          <w:tcPr>
            <w:tcW w:w="8880" w:type="dxa"/>
            <w:tcBorders>
              <w:top w:val="nil"/>
              <w:left w:val="nil"/>
              <w:bottom w:val="single" w:sz="4" w:space="0" w:color="auto"/>
              <w:right w:val="single" w:sz="4" w:space="0" w:color="auto"/>
            </w:tcBorders>
            <w:shd w:val="clear" w:color="auto" w:fill="auto"/>
            <w:hideMark/>
          </w:tcPr>
          <w:p w:rsidR="00F40D0B" w:rsidRPr="00F40D0B" w:rsidRDefault="00F40D0B" w:rsidP="00F40D0B">
            <w:pPr>
              <w:spacing w:before="0" w:after="0"/>
              <w:ind w:firstLineChars="200" w:firstLine="400"/>
              <w:rPr>
                <w:color w:val="000000"/>
              </w:rPr>
            </w:pPr>
            <w:r w:rsidRPr="00F40D0B">
              <w:rPr>
                <w:color w:val="000000"/>
              </w:rPr>
              <w:t>Бюджетна програма „Насърчаване, развитие и мониторинг на социалната икономика и корпоративната социална отговорност“</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671,3</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553,6</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pPr>
            <w:r w:rsidRPr="00F40D0B">
              <w:t>541,1</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auto" w:fill="auto"/>
            <w:noWrap/>
            <w:hideMark/>
          </w:tcPr>
          <w:p w:rsidR="00F40D0B" w:rsidRPr="00F40D0B" w:rsidRDefault="00F40D0B" w:rsidP="00F40D0B">
            <w:pPr>
              <w:spacing w:before="0" w:after="0"/>
              <w:ind w:firstLine="0"/>
            </w:pPr>
            <w:r w:rsidRPr="00F40D0B">
              <w:t>7.</w:t>
            </w:r>
          </w:p>
        </w:tc>
        <w:tc>
          <w:tcPr>
            <w:tcW w:w="8880" w:type="dxa"/>
            <w:tcBorders>
              <w:top w:val="nil"/>
              <w:left w:val="nil"/>
              <w:bottom w:val="single" w:sz="4" w:space="0" w:color="auto"/>
              <w:right w:val="single" w:sz="4" w:space="0" w:color="auto"/>
            </w:tcBorders>
            <w:shd w:val="clear" w:color="auto" w:fill="auto"/>
            <w:noWrap/>
            <w:hideMark/>
          </w:tcPr>
          <w:p w:rsidR="00F40D0B" w:rsidRPr="00F40D0B" w:rsidRDefault="00F40D0B" w:rsidP="00F40D0B">
            <w:pPr>
              <w:spacing w:before="0" w:after="0"/>
              <w:ind w:firstLineChars="100" w:firstLine="200"/>
              <w:rPr>
                <w:b/>
                <w:bCs/>
                <w:color w:val="000000"/>
              </w:rPr>
            </w:pPr>
            <w:r w:rsidRPr="00F40D0B">
              <w:rPr>
                <w:b/>
                <w:bCs/>
                <w:color w:val="000000"/>
              </w:rPr>
              <w:t>Бюджетна програма „Администрация“</w:t>
            </w:r>
          </w:p>
        </w:tc>
        <w:tc>
          <w:tcPr>
            <w:tcW w:w="286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12 875,7</w:t>
            </w:r>
          </w:p>
        </w:tc>
        <w:tc>
          <w:tcPr>
            <w:tcW w:w="220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16 149,9</w:t>
            </w:r>
          </w:p>
        </w:tc>
        <w:tc>
          <w:tcPr>
            <w:tcW w:w="2240" w:type="dxa"/>
            <w:tcBorders>
              <w:top w:val="nil"/>
              <w:left w:val="nil"/>
              <w:bottom w:val="single" w:sz="4" w:space="0" w:color="auto"/>
              <w:right w:val="single" w:sz="4" w:space="0" w:color="auto"/>
            </w:tcBorders>
            <w:shd w:val="clear" w:color="auto" w:fill="auto"/>
            <w:noWrap/>
            <w:vAlign w:val="center"/>
            <w:hideMark/>
          </w:tcPr>
          <w:p w:rsidR="00F40D0B" w:rsidRPr="00F40D0B" w:rsidRDefault="00F40D0B" w:rsidP="00F40D0B">
            <w:pPr>
              <w:spacing w:before="0" w:after="0"/>
              <w:ind w:firstLine="0"/>
              <w:jc w:val="right"/>
              <w:rPr>
                <w:b/>
                <w:bCs/>
              </w:rPr>
            </w:pPr>
            <w:r w:rsidRPr="00F40D0B">
              <w:rPr>
                <w:b/>
                <w:bCs/>
              </w:rPr>
              <w:t>16 065,4</w:t>
            </w:r>
          </w:p>
        </w:tc>
      </w:tr>
      <w:tr w:rsidR="00F40D0B" w:rsidRPr="00F40D0B" w:rsidTr="00F40D0B">
        <w:trPr>
          <w:trHeight w:val="375"/>
        </w:trPr>
        <w:tc>
          <w:tcPr>
            <w:tcW w:w="760" w:type="dxa"/>
            <w:tcBorders>
              <w:top w:val="nil"/>
              <w:left w:val="single" w:sz="4" w:space="0" w:color="auto"/>
              <w:bottom w:val="single" w:sz="4" w:space="0" w:color="auto"/>
              <w:right w:val="single" w:sz="4" w:space="0" w:color="auto"/>
            </w:tcBorders>
            <w:shd w:val="clear" w:color="000000" w:fill="D9D9D9"/>
            <w:noWrap/>
            <w:vAlign w:val="bottom"/>
            <w:hideMark/>
          </w:tcPr>
          <w:p w:rsidR="00F40D0B" w:rsidRPr="00F40D0B" w:rsidRDefault="00F40D0B" w:rsidP="00F40D0B">
            <w:pPr>
              <w:spacing w:before="0" w:after="0"/>
              <w:ind w:firstLine="0"/>
            </w:pPr>
            <w:r w:rsidRPr="00F40D0B">
              <w:t> </w:t>
            </w:r>
          </w:p>
        </w:tc>
        <w:tc>
          <w:tcPr>
            <w:tcW w:w="8880" w:type="dxa"/>
            <w:tcBorders>
              <w:top w:val="nil"/>
              <w:left w:val="nil"/>
              <w:bottom w:val="single" w:sz="4" w:space="0" w:color="auto"/>
              <w:right w:val="single" w:sz="4" w:space="0" w:color="auto"/>
            </w:tcBorders>
            <w:shd w:val="clear" w:color="000000" w:fill="D9D9D9"/>
            <w:noWrap/>
            <w:vAlign w:val="bottom"/>
            <w:hideMark/>
          </w:tcPr>
          <w:p w:rsidR="00F40D0B" w:rsidRPr="00F40D0B" w:rsidRDefault="00F40D0B" w:rsidP="00F40D0B">
            <w:pPr>
              <w:spacing w:before="0" w:after="0"/>
              <w:ind w:firstLine="0"/>
              <w:rPr>
                <w:b/>
                <w:bCs/>
              </w:rPr>
            </w:pPr>
            <w:r w:rsidRPr="00F40D0B">
              <w:rPr>
                <w:b/>
                <w:bCs/>
              </w:rPr>
              <w:t>ОБЩО:</w:t>
            </w:r>
          </w:p>
        </w:tc>
        <w:tc>
          <w:tcPr>
            <w:tcW w:w="2860" w:type="dxa"/>
            <w:tcBorders>
              <w:top w:val="nil"/>
              <w:left w:val="nil"/>
              <w:bottom w:val="single" w:sz="4" w:space="0" w:color="auto"/>
              <w:right w:val="single" w:sz="4" w:space="0" w:color="auto"/>
            </w:tcBorders>
            <w:shd w:val="clear" w:color="000000" w:fill="D9D9D9"/>
            <w:noWrap/>
            <w:vAlign w:val="bottom"/>
            <w:hideMark/>
          </w:tcPr>
          <w:p w:rsidR="00F40D0B" w:rsidRPr="00F40D0B" w:rsidRDefault="00F40D0B" w:rsidP="00F40D0B">
            <w:pPr>
              <w:spacing w:before="0" w:after="0"/>
              <w:ind w:firstLine="0"/>
              <w:jc w:val="right"/>
              <w:rPr>
                <w:b/>
                <w:bCs/>
              </w:rPr>
            </w:pPr>
            <w:r w:rsidRPr="00F40D0B">
              <w:rPr>
                <w:b/>
                <w:bCs/>
              </w:rPr>
              <w:t>2 862 221,0</w:t>
            </w:r>
          </w:p>
        </w:tc>
        <w:tc>
          <w:tcPr>
            <w:tcW w:w="2200" w:type="dxa"/>
            <w:tcBorders>
              <w:top w:val="nil"/>
              <w:left w:val="nil"/>
              <w:bottom w:val="single" w:sz="4" w:space="0" w:color="auto"/>
              <w:right w:val="single" w:sz="4" w:space="0" w:color="auto"/>
            </w:tcBorders>
            <w:shd w:val="clear" w:color="000000" w:fill="D9D9D9"/>
            <w:noWrap/>
            <w:vAlign w:val="bottom"/>
            <w:hideMark/>
          </w:tcPr>
          <w:p w:rsidR="00F40D0B" w:rsidRPr="00F40D0B" w:rsidRDefault="00F40D0B" w:rsidP="00F40D0B">
            <w:pPr>
              <w:spacing w:before="0" w:after="0"/>
              <w:ind w:firstLine="0"/>
              <w:jc w:val="right"/>
              <w:rPr>
                <w:b/>
                <w:bCs/>
              </w:rPr>
            </w:pPr>
            <w:r w:rsidRPr="00F40D0B">
              <w:rPr>
                <w:b/>
                <w:bCs/>
              </w:rPr>
              <w:t>2 031 870,0</w:t>
            </w:r>
          </w:p>
        </w:tc>
        <w:tc>
          <w:tcPr>
            <w:tcW w:w="2240" w:type="dxa"/>
            <w:tcBorders>
              <w:top w:val="nil"/>
              <w:left w:val="nil"/>
              <w:bottom w:val="single" w:sz="4" w:space="0" w:color="auto"/>
              <w:right w:val="single" w:sz="4" w:space="0" w:color="auto"/>
            </w:tcBorders>
            <w:shd w:val="clear" w:color="000000" w:fill="D9D9D9"/>
            <w:noWrap/>
            <w:vAlign w:val="bottom"/>
            <w:hideMark/>
          </w:tcPr>
          <w:p w:rsidR="00F40D0B" w:rsidRPr="00F40D0B" w:rsidRDefault="00F40D0B" w:rsidP="00F40D0B">
            <w:pPr>
              <w:spacing w:before="0" w:after="0"/>
              <w:ind w:firstLine="0"/>
              <w:jc w:val="right"/>
              <w:rPr>
                <w:b/>
                <w:bCs/>
              </w:rPr>
            </w:pPr>
            <w:r w:rsidRPr="00F40D0B">
              <w:rPr>
                <w:b/>
                <w:bCs/>
              </w:rPr>
              <w:t>2 005 468,6</w:t>
            </w:r>
          </w:p>
        </w:tc>
      </w:tr>
    </w:tbl>
    <w:p w:rsidR="00EB3B7A" w:rsidRDefault="00EB3B7A" w:rsidP="00EB3B7A">
      <w:pPr>
        <w:spacing w:before="0" w:after="0"/>
        <w:ind w:firstLine="0"/>
        <w:jc w:val="center"/>
        <w:rPr>
          <w:rFonts w:eastAsiaTheme="minorHAnsi"/>
          <w:b/>
          <w:sz w:val="24"/>
          <w:szCs w:val="24"/>
          <w:lang w:eastAsia="en-US"/>
        </w:rPr>
      </w:pPr>
    </w:p>
    <w:p w:rsidR="00EB3B7A" w:rsidRPr="00F414DF" w:rsidRDefault="00EB3B7A" w:rsidP="00EB3B7A">
      <w:pPr>
        <w:spacing w:after="0"/>
        <w:ind w:firstLine="0"/>
        <w:jc w:val="center"/>
        <w:rPr>
          <w:rFonts w:eastAsiaTheme="minorHAnsi"/>
          <w:b/>
          <w:sz w:val="24"/>
          <w:szCs w:val="24"/>
          <w:lang w:eastAsia="en-US"/>
        </w:rPr>
      </w:pPr>
      <w:r w:rsidRPr="00F414DF">
        <w:rPr>
          <w:rFonts w:eastAsiaTheme="minorHAnsi"/>
          <w:b/>
          <w:sz w:val="24"/>
          <w:szCs w:val="24"/>
          <w:lang w:eastAsia="en-US"/>
        </w:rPr>
        <w:t>Политика в областта на пазара на труда, свободното движение на работници и трудовата миграция</w:t>
      </w:r>
    </w:p>
    <w:p w:rsidR="00EB3B7A" w:rsidRPr="008F13AA" w:rsidRDefault="00597AAA" w:rsidP="00EB3B7A">
      <w:pPr>
        <w:spacing w:before="0" w:after="0"/>
        <w:jc w:val="both"/>
        <w:rPr>
          <w:rFonts w:eastAsiaTheme="minorHAnsi"/>
          <w:sz w:val="24"/>
          <w:szCs w:val="24"/>
          <w:lang w:eastAsia="en-US"/>
        </w:rPr>
      </w:pPr>
      <w:r w:rsidRPr="00597AAA">
        <w:rPr>
          <w:rFonts w:eastAsiaTheme="minorHAnsi"/>
          <w:sz w:val="24"/>
          <w:szCs w:val="24"/>
          <w:lang w:eastAsia="en-US"/>
        </w:rPr>
        <w:t>В бюджета за 202</w:t>
      </w:r>
      <w:r>
        <w:rPr>
          <w:rFonts w:eastAsiaTheme="minorHAnsi"/>
          <w:sz w:val="24"/>
          <w:szCs w:val="24"/>
          <w:lang w:eastAsia="en-US"/>
        </w:rPr>
        <w:t>4</w:t>
      </w:r>
      <w:r w:rsidRPr="00597AAA">
        <w:rPr>
          <w:rFonts w:eastAsiaTheme="minorHAnsi"/>
          <w:sz w:val="24"/>
          <w:szCs w:val="24"/>
          <w:lang w:eastAsia="en-US"/>
        </w:rPr>
        <w:t xml:space="preserve"> г. са включени дейности за увеличаване на заетостта и намаляване на безработицата, особено сред неравнопоставените групи на пазара на труда. Действията са съобразени с изискванията на Закона за насърчаване на заетостта (ЗНЗ), Закона за трудовата миграция и трудовата мобилност (ЗТМТМ), правилниците за тяхното прилагане и свързаните с тях нормативни актове. Предвидените действия способстват за реализиране на целите на Стратегията по заетостта на Р България (2021-2030 г.) и поетите ангажименти от страната в изпълнение на Плана за изпълнение на </w:t>
      </w:r>
      <w:r w:rsidRPr="00597AAA">
        <w:rPr>
          <w:rFonts w:eastAsiaTheme="minorHAnsi"/>
          <w:sz w:val="24"/>
          <w:szCs w:val="24"/>
          <w:lang w:eastAsia="en-US"/>
        </w:rPr>
        <w:lastRenderedPageBreak/>
        <w:t>Европейския стълб на социалните права; специфичните препоръки на Съвета на ЕС към България; Европейската програма за уменията; мерките, включени в Националната програма за реформи; Националната програма за развитие България 2030 г.; Националната стратегия по миграция на Република България (2021-2025); Европейската гаранцията за младежта; Препоръката на Съвета на ЕС за интегриране на дълготрайно безработните лица на пазара на труда и др</w:t>
      </w:r>
      <w:r w:rsidR="00EB3B7A" w:rsidRPr="008F13AA">
        <w:rPr>
          <w:rFonts w:eastAsiaTheme="minorHAnsi"/>
          <w:sz w:val="24"/>
          <w:szCs w:val="24"/>
          <w:lang w:eastAsia="en-US"/>
        </w:rPr>
        <w:t xml:space="preserve">. </w:t>
      </w:r>
    </w:p>
    <w:p w:rsidR="00EB3B7A" w:rsidRDefault="00597AAA" w:rsidP="00EB3B7A">
      <w:pPr>
        <w:spacing w:before="0" w:after="0"/>
        <w:jc w:val="both"/>
        <w:rPr>
          <w:rFonts w:eastAsiaTheme="minorHAnsi"/>
          <w:sz w:val="24"/>
          <w:szCs w:val="24"/>
          <w:lang w:eastAsia="en-US"/>
        </w:rPr>
      </w:pPr>
      <w:r w:rsidRPr="00597AAA">
        <w:rPr>
          <w:rFonts w:eastAsiaTheme="minorHAnsi"/>
          <w:sz w:val="24"/>
          <w:szCs w:val="24"/>
          <w:lang w:eastAsia="en-US"/>
        </w:rPr>
        <w:t>Изпълнението на програмите и мерките за заетост и/или обучение, финансирани със средства от държавния бюджет, е допринесло за постигане на планираните показатели, а именно</w:t>
      </w:r>
      <w:r>
        <w:rPr>
          <w:rFonts w:eastAsiaTheme="minorHAnsi"/>
          <w:sz w:val="24"/>
          <w:szCs w:val="24"/>
          <w:lang w:eastAsia="en-US"/>
        </w:rPr>
        <w:t>:</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Равнището на регистрираната безработица за 2024 г. е 5.45%.</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Броят на регистрираните в бюрата по труда безработни лица през отчетния период е 154 604 ср. мес. бр. Регистрираните продължително безработни лица за периода са 34 237 ср. мес. бр., а регистрираните безработни младежи са 17 841 ср. мес. бр.</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Броят на заетите и безработните лица, включени в курсове за обучение на възрастни със средства от държавния бюджет, е 8 102.</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През отчетния период по програми и мерки за обучение и заетост и обучение на възрастни са включени 13 022 лица.</w:t>
      </w:r>
    </w:p>
    <w:p w:rsidR="00597AAA" w:rsidRPr="00597AAA" w:rsidRDefault="00597AAA" w:rsidP="00597AAA">
      <w:pPr>
        <w:pStyle w:val="ListParagraph"/>
        <w:numPr>
          <w:ilvl w:val="0"/>
          <w:numId w:val="8"/>
        </w:numPr>
        <w:ind w:left="0" w:firstLine="567"/>
        <w:contextualSpacing w:val="0"/>
        <w:jc w:val="both"/>
        <w:rPr>
          <w:rFonts w:eastAsiaTheme="minorHAnsi"/>
        </w:rPr>
      </w:pPr>
      <w:r w:rsidRPr="00597AAA">
        <w:rPr>
          <w:rFonts w:ascii="Times New Roman" w:eastAsiaTheme="minorHAnsi" w:hAnsi="Times New Roman" w:cs="Times New Roman"/>
          <w:lang w:val="bg-BG"/>
        </w:rPr>
        <w:t xml:space="preserve">За отчетния период 214 295 лица са включени в индивидуално професионално ориентиране и 26 754 </w:t>
      </w:r>
      <w:proofErr w:type="spellStart"/>
      <w:r w:rsidRPr="00597AAA">
        <w:rPr>
          <w:rFonts w:eastAsiaTheme="minorHAnsi"/>
        </w:rPr>
        <w:t>са</w:t>
      </w:r>
      <w:proofErr w:type="spellEnd"/>
      <w:r w:rsidRPr="00597AAA">
        <w:rPr>
          <w:rFonts w:eastAsiaTheme="minorHAnsi"/>
        </w:rPr>
        <w:t xml:space="preserve"> </w:t>
      </w:r>
      <w:proofErr w:type="spellStart"/>
      <w:r w:rsidRPr="00597AAA">
        <w:rPr>
          <w:rFonts w:eastAsiaTheme="minorHAnsi"/>
        </w:rPr>
        <w:t>включените</w:t>
      </w:r>
      <w:proofErr w:type="spellEnd"/>
      <w:r w:rsidRPr="00597AAA">
        <w:rPr>
          <w:rFonts w:eastAsiaTheme="minorHAnsi"/>
        </w:rPr>
        <w:t xml:space="preserve"> в </w:t>
      </w:r>
      <w:proofErr w:type="spellStart"/>
      <w:r w:rsidRPr="00597AAA">
        <w:rPr>
          <w:rFonts w:eastAsiaTheme="minorHAnsi"/>
        </w:rPr>
        <w:t>групово</w:t>
      </w:r>
      <w:proofErr w:type="spellEnd"/>
      <w:r w:rsidRPr="00597AAA">
        <w:rPr>
          <w:rFonts w:eastAsiaTheme="minorHAnsi"/>
        </w:rPr>
        <w:t xml:space="preserve"> </w:t>
      </w:r>
      <w:proofErr w:type="spellStart"/>
      <w:r w:rsidRPr="00597AAA">
        <w:rPr>
          <w:rFonts w:eastAsiaTheme="minorHAnsi"/>
        </w:rPr>
        <w:t>професионално</w:t>
      </w:r>
      <w:proofErr w:type="spellEnd"/>
      <w:r w:rsidRPr="00597AAA">
        <w:rPr>
          <w:rFonts w:eastAsiaTheme="minorHAnsi"/>
        </w:rPr>
        <w:t xml:space="preserve"> </w:t>
      </w:r>
      <w:proofErr w:type="spellStart"/>
      <w:r w:rsidRPr="00597AAA">
        <w:rPr>
          <w:rFonts w:eastAsiaTheme="minorHAnsi"/>
        </w:rPr>
        <w:t>ориентиране</w:t>
      </w:r>
      <w:proofErr w:type="spellEnd"/>
      <w:r w:rsidRPr="00597AAA">
        <w:rPr>
          <w:rFonts w:eastAsiaTheme="minorHAnsi"/>
        </w:rPr>
        <w:t>.</w:t>
      </w:r>
    </w:p>
    <w:p w:rsidR="00597AAA" w:rsidRDefault="00597AAA" w:rsidP="00EB3B7A">
      <w:pPr>
        <w:spacing w:before="0" w:after="0"/>
        <w:jc w:val="both"/>
        <w:rPr>
          <w:rFonts w:eastAsiaTheme="minorHAnsi"/>
          <w:sz w:val="24"/>
          <w:szCs w:val="24"/>
          <w:lang w:eastAsia="en-US"/>
        </w:rPr>
      </w:pPr>
      <w:r w:rsidRPr="00597AAA">
        <w:rPr>
          <w:rFonts w:eastAsiaTheme="minorHAnsi"/>
          <w:sz w:val="24"/>
          <w:szCs w:val="24"/>
          <w:lang w:eastAsia="en-US"/>
        </w:rPr>
        <w:t>В областта на пазара на труда, свободното движение на работници и трудовата миграция са постигнати и следните резултати</w:t>
      </w:r>
      <w:r>
        <w:rPr>
          <w:rFonts w:eastAsiaTheme="minorHAnsi"/>
          <w:sz w:val="24"/>
          <w:szCs w:val="24"/>
          <w:lang w:eastAsia="en-US"/>
        </w:rPr>
        <w:t>:</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Приети от Народното събрание изменения и допълнения на Закона за насърчаване на заетостта (изм. и доп. ДВ. бр. 25 от 22 Март 2024 г.);</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 xml:space="preserve">Одобрено от Министерския съвет Постановление за изменение и допълнение на Правилника за прилагане на Закона за насърчаване на заетостта (ПМС № 61 от 21.03.2024 г.); </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 xml:space="preserve">Приет с Решение № 327 от 9 май 2024 г. Национален план за действие по заетостта през 2024 г.; </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Одобрен от Националния съвет за трудова миграция и трудова мобилност План за действие в областта на трудовата миграция за 2024 г.;</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Стартиран проект BG05SFPR002-1.015-0001 „Адресиране на предизвикателствата на пазара на труда“ по П РЧР 2021 – 2027 г.;</w:t>
      </w:r>
    </w:p>
    <w:p w:rsidR="00597AAA" w:rsidRPr="00597AAA" w:rsidRDefault="00597AAA" w:rsidP="00597AAA">
      <w:pPr>
        <w:pStyle w:val="ListParagraph"/>
        <w:numPr>
          <w:ilvl w:val="0"/>
          <w:numId w:val="8"/>
        </w:numPr>
        <w:ind w:left="0" w:firstLine="567"/>
        <w:contextualSpacing w:val="0"/>
        <w:jc w:val="both"/>
        <w:rPr>
          <w:rFonts w:ascii="Times New Roman" w:eastAsiaTheme="minorHAnsi" w:hAnsi="Times New Roman" w:cs="Times New Roman"/>
          <w:lang w:val="bg-BG"/>
        </w:rPr>
      </w:pPr>
      <w:r w:rsidRPr="00597AAA">
        <w:rPr>
          <w:rFonts w:ascii="Times New Roman" w:eastAsiaTheme="minorHAnsi" w:hAnsi="Times New Roman" w:cs="Times New Roman"/>
          <w:lang w:val="bg-BG"/>
        </w:rPr>
        <w:t>Утвърдени 28 регионални програми за заетост, по които с финансиране в размер на около 12,6 млн. лв. e осигурена заетост на пълно или непълно работно време на 2 911 лица за период до 6 месеца;</w:t>
      </w:r>
    </w:p>
    <w:p w:rsidR="00EB3B7A" w:rsidRPr="00F414DF" w:rsidRDefault="00597AAA" w:rsidP="00597AAA">
      <w:pPr>
        <w:pStyle w:val="ListParagraph"/>
        <w:numPr>
          <w:ilvl w:val="0"/>
          <w:numId w:val="8"/>
        </w:numPr>
        <w:ind w:left="0" w:firstLine="567"/>
        <w:contextualSpacing w:val="0"/>
        <w:jc w:val="both"/>
        <w:rPr>
          <w:rFonts w:eastAsiaTheme="minorHAnsi"/>
        </w:rPr>
      </w:pPr>
      <w:r w:rsidRPr="00597AAA">
        <w:rPr>
          <w:rFonts w:ascii="Times New Roman" w:eastAsiaTheme="minorHAnsi" w:hAnsi="Times New Roman" w:cs="Times New Roman"/>
          <w:lang w:val="bg-BG"/>
        </w:rPr>
        <w:t>В изпълнение на разпоредбите на ЗТМТМ са предоставени положителни становища за достъп до пазара на труда на 19 160 граждани на трети държави и е регистрирана краткосрочна</w:t>
      </w:r>
      <w:r w:rsidRPr="00597AAA">
        <w:t xml:space="preserve"> </w:t>
      </w:r>
      <w:proofErr w:type="spellStart"/>
      <w:r w:rsidRPr="00597AAA">
        <w:t>заетост</w:t>
      </w:r>
      <w:proofErr w:type="spellEnd"/>
      <w:r w:rsidRPr="00597AAA">
        <w:t xml:space="preserve"> </w:t>
      </w:r>
      <w:proofErr w:type="spellStart"/>
      <w:r w:rsidRPr="00597AAA">
        <w:t>на</w:t>
      </w:r>
      <w:proofErr w:type="spellEnd"/>
      <w:r w:rsidRPr="00597AAA">
        <w:t xml:space="preserve"> 14 000 </w:t>
      </w:r>
      <w:proofErr w:type="spellStart"/>
      <w:r w:rsidRPr="00597AAA">
        <w:t>чужденци</w:t>
      </w:r>
      <w:proofErr w:type="spellEnd"/>
      <w:r>
        <w:rPr>
          <w:lang w:val="bg-BG"/>
        </w:rPr>
        <w:t>.</w:t>
      </w:r>
      <w:r w:rsidR="00EB3B7A" w:rsidRPr="00F414DF">
        <w:rPr>
          <w:rFonts w:eastAsiaTheme="minorHAnsi"/>
        </w:rPr>
        <w:t xml:space="preserve"> </w:t>
      </w:r>
    </w:p>
    <w:p w:rsidR="00597AAA" w:rsidRPr="00597AAA" w:rsidRDefault="00597AAA" w:rsidP="00597AAA">
      <w:pPr>
        <w:spacing w:before="0" w:after="0"/>
        <w:jc w:val="both"/>
        <w:rPr>
          <w:rFonts w:eastAsiaTheme="minorHAnsi"/>
          <w:sz w:val="24"/>
          <w:szCs w:val="24"/>
          <w:lang w:eastAsia="en-US"/>
        </w:rPr>
      </w:pPr>
      <w:r w:rsidRPr="00597AAA">
        <w:rPr>
          <w:rFonts w:eastAsiaTheme="minorHAnsi"/>
          <w:sz w:val="24"/>
          <w:szCs w:val="24"/>
          <w:lang w:eastAsia="en-US"/>
        </w:rPr>
        <w:t xml:space="preserve">Чрез Работна група 2 „Свободно движение на хора“ към Съвета по европейските въпроси се осъществява координация по въпросите на ЕС в областта на свободното движение на работници. </w:t>
      </w:r>
    </w:p>
    <w:p w:rsidR="00597AAA" w:rsidRDefault="00597AAA" w:rsidP="00597AAA">
      <w:pPr>
        <w:spacing w:before="0" w:after="0"/>
        <w:jc w:val="both"/>
        <w:rPr>
          <w:rFonts w:eastAsiaTheme="minorHAnsi"/>
          <w:sz w:val="24"/>
          <w:szCs w:val="24"/>
          <w:lang w:eastAsia="en-US"/>
        </w:rPr>
      </w:pPr>
      <w:r w:rsidRPr="00597AAA">
        <w:rPr>
          <w:rFonts w:eastAsiaTheme="minorHAnsi"/>
          <w:sz w:val="24"/>
          <w:szCs w:val="24"/>
          <w:lang w:eastAsia="en-US"/>
        </w:rPr>
        <w:t>Одобрен от Министерския съвет на 22 март 2024 г. (РМС № 205) проект на Закон за изменение и допълнение на Закона за чужденците в Република България (ЗИД на ЗЧРБ), с приемането на който трябва да приключи процесът по въвеждане в националното законодателство на изискванията на новата директива за „Синята карта на ЕС“. Законопроектът беше внесен в 49-то Народно събрание, но не беше разгледан от ресорните комисии и в пленарната зала. ЗИД на ЗЧРБ беше одобрен отново от МС на 28 юни 2024 г. (РМС № 458) и законопроектът беше внесен и в 50-то Народно събрание, което също не го разгледа.</w:t>
      </w:r>
      <w:r>
        <w:rPr>
          <w:rFonts w:eastAsiaTheme="minorHAnsi"/>
          <w:sz w:val="24"/>
          <w:szCs w:val="24"/>
          <w:lang w:eastAsia="en-US"/>
        </w:rPr>
        <w:t xml:space="preserve"> </w:t>
      </w:r>
    </w:p>
    <w:p w:rsidR="00597AAA" w:rsidRDefault="00597AAA" w:rsidP="00597AAA">
      <w:pPr>
        <w:spacing w:before="0" w:after="0"/>
        <w:jc w:val="both"/>
        <w:rPr>
          <w:rFonts w:eastAsiaTheme="minorHAnsi"/>
          <w:sz w:val="24"/>
          <w:szCs w:val="24"/>
          <w:lang w:eastAsia="en-US"/>
        </w:rPr>
      </w:pPr>
      <w:r w:rsidRPr="00597AAA">
        <w:rPr>
          <w:rFonts w:eastAsiaTheme="minorHAnsi"/>
          <w:sz w:val="24"/>
          <w:szCs w:val="24"/>
          <w:lang w:eastAsia="en-US"/>
        </w:rPr>
        <w:lastRenderedPageBreak/>
        <w:t>Продълж</w:t>
      </w:r>
      <w:r>
        <w:rPr>
          <w:rFonts w:eastAsiaTheme="minorHAnsi"/>
          <w:sz w:val="24"/>
          <w:szCs w:val="24"/>
          <w:lang w:eastAsia="en-US"/>
        </w:rPr>
        <w:t>ава</w:t>
      </w:r>
      <w:r w:rsidRPr="00597AAA">
        <w:rPr>
          <w:rFonts w:eastAsiaTheme="minorHAnsi"/>
          <w:sz w:val="24"/>
          <w:szCs w:val="24"/>
          <w:lang w:eastAsia="en-US"/>
        </w:rPr>
        <w:t xml:space="preserve"> работата по изпълнението на подписаните двустранни спогодби за регулиране на трудовата миграция</w:t>
      </w:r>
      <w:r>
        <w:rPr>
          <w:rFonts w:eastAsiaTheme="minorHAnsi"/>
          <w:sz w:val="24"/>
          <w:szCs w:val="24"/>
          <w:lang w:eastAsia="en-US"/>
        </w:rPr>
        <w:t>.</w:t>
      </w:r>
    </w:p>
    <w:p w:rsidR="00EB3B7A" w:rsidRPr="00F414DF" w:rsidRDefault="00EB3B7A" w:rsidP="00EB3B7A">
      <w:pPr>
        <w:spacing w:before="0" w:after="0"/>
        <w:jc w:val="both"/>
        <w:rPr>
          <w:rFonts w:eastAsiaTheme="minorHAnsi"/>
          <w:sz w:val="24"/>
          <w:szCs w:val="24"/>
          <w:lang w:eastAsia="en-US"/>
        </w:rPr>
      </w:pPr>
      <w:r w:rsidRPr="00F414DF">
        <w:rPr>
          <w:rFonts w:eastAsiaTheme="minorHAnsi"/>
          <w:sz w:val="24"/>
          <w:szCs w:val="24"/>
          <w:lang w:eastAsia="en-US"/>
        </w:rPr>
        <w:t>Изпълнението на програми и мерки за заетост и обучение оказват въздействие на индивидуално ниво – съдействат за възстановяване трудовите навици на лица с дълъг престой без работа, предоставят възможности за придобиване на доходи от труд и на професионален опит и/или обучение по търсени професии на пазара на труда, но също така влияят върху социално-икономическата ситуация: способстват за намаляване равнището на регистрирана безработица, както и за намаляване броя на регистрираните безработни лица, вкл. от неравнопоставените групи на пазара на труда.</w:t>
      </w:r>
    </w:p>
    <w:p w:rsidR="00EB3B7A" w:rsidRPr="00F414DF" w:rsidRDefault="00EB3B7A" w:rsidP="00EB3B7A">
      <w:pPr>
        <w:spacing w:line="276" w:lineRule="auto"/>
        <w:ind w:firstLine="0"/>
        <w:contextualSpacing/>
        <w:jc w:val="right"/>
        <w:rPr>
          <w:rFonts w:eastAsia="Calibri"/>
          <w:b/>
          <w:i/>
          <w:sz w:val="24"/>
          <w:szCs w:val="24"/>
          <w:lang w:eastAsia="en-US"/>
        </w:rPr>
      </w:pPr>
      <w:r w:rsidRPr="00F414DF">
        <w:rPr>
          <w:rFonts w:eastAsia="Calibri"/>
          <w:b/>
          <w:i/>
          <w:sz w:val="24"/>
          <w:szCs w:val="24"/>
          <w:lang w:eastAsia="en-US"/>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992"/>
        <w:gridCol w:w="1187"/>
        <w:gridCol w:w="1574"/>
        <w:gridCol w:w="1309"/>
      </w:tblGrid>
      <w:tr w:rsidR="00EB3B7A" w:rsidRPr="008F13AA" w:rsidTr="000A4066">
        <w:trPr>
          <w:trHeight w:val="440"/>
          <w:jc w:val="center"/>
        </w:trPr>
        <w:tc>
          <w:tcPr>
            <w:tcW w:w="4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
                <w:iCs/>
                <w:lang w:eastAsia="en-US"/>
              </w:rPr>
            </w:pPr>
            <w:r w:rsidRPr="00F414DF">
              <w:rPr>
                <w:rFonts w:eastAsia="Calibri"/>
                <w:b/>
                <w:iCs/>
                <w:lang w:eastAsia="en-US"/>
              </w:rPr>
              <w:t>Политика в областта на пазара на труда, свободното движение на работници и трудовата миграция</w:t>
            </w:r>
          </w:p>
        </w:tc>
        <w:tc>
          <w:tcPr>
            <w:tcW w:w="1187" w:type="dxa"/>
            <w:vMerge w:val="restart"/>
            <w:tcBorders>
              <w:top w:val="single" w:sz="4" w:space="0" w:color="auto"/>
              <w:left w:val="nil"/>
              <w:bottom w:val="single" w:sz="4" w:space="0" w:color="auto"/>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
                <w:lang w:eastAsia="en-US"/>
              </w:rPr>
            </w:pPr>
            <w:r w:rsidRPr="00F414DF">
              <w:rPr>
                <w:rFonts w:eastAsia="Calibri"/>
                <w:b/>
                <w:bCs/>
                <w:lang w:eastAsia="en-US"/>
              </w:rPr>
              <w:t>Мерна единица</w:t>
            </w:r>
          </w:p>
        </w:tc>
        <w:tc>
          <w:tcPr>
            <w:tcW w:w="1574" w:type="dxa"/>
            <w:vMerge w:val="restart"/>
            <w:tcBorders>
              <w:top w:val="single" w:sz="4" w:space="0" w:color="auto"/>
              <w:left w:val="nil"/>
              <w:right w:val="single" w:sz="4" w:space="0" w:color="auto"/>
            </w:tcBorders>
            <w:shd w:val="clear" w:color="auto" w:fill="D9D9D9" w:themeFill="background1" w:themeFillShade="D9"/>
            <w:vAlign w:val="center"/>
          </w:tcPr>
          <w:p w:rsidR="00EB3B7A" w:rsidRPr="00F414DF" w:rsidRDefault="00EB3B7A" w:rsidP="00597AAA">
            <w:pPr>
              <w:spacing w:before="0" w:after="0"/>
              <w:ind w:firstLine="0"/>
              <w:jc w:val="center"/>
              <w:rPr>
                <w:rFonts w:eastAsia="Calibri"/>
                <w:b/>
                <w:bCs/>
                <w:lang w:eastAsia="en-US"/>
              </w:rPr>
            </w:pPr>
            <w:r w:rsidRPr="00F414DF">
              <w:rPr>
                <w:rFonts w:eastAsia="Calibri"/>
                <w:b/>
                <w:bCs/>
                <w:iCs/>
                <w:lang w:eastAsia="en-US"/>
              </w:rPr>
              <w:t>Целева стойност за 202</w:t>
            </w:r>
            <w:r w:rsidR="00597AAA">
              <w:rPr>
                <w:rFonts w:eastAsia="Calibri"/>
                <w:b/>
                <w:bCs/>
                <w:iCs/>
                <w:lang w:eastAsia="en-US"/>
              </w:rPr>
              <w:t>4</w:t>
            </w:r>
            <w:r w:rsidRPr="00F414DF">
              <w:rPr>
                <w:rFonts w:eastAsia="Calibri"/>
                <w:b/>
                <w:bCs/>
                <w:iCs/>
                <w:lang w:eastAsia="en-US"/>
              </w:rPr>
              <w:t xml:space="preserve"> г.</w:t>
            </w:r>
          </w:p>
        </w:tc>
        <w:tc>
          <w:tcPr>
            <w:tcW w:w="1309" w:type="dxa"/>
            <w:vMerge w:val="restart"/>
            <w:tcBorders>
              <w:top w:val="single" w:sz="4" w:space="0" w:color="auto"/>
              <w:left w:val="nil"/>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
                <w:bCs/>
                <w:iCs/>
                <w:lang w:eastAsia="en-US"/>
              </w:rPr>
            </w:pPr>
            <w:r w:rsidRPr="00F414DF">
              <w:rPr>
                <w:rFonts w:eastAsia="Calibri"/>
                <w:b/>
                <w:bCs/>
                <w:iCs/>
                <w:lang w:eastAsia="en-US"/>
              </w:rPr>
              <w:t xml:space="preserve">Отчет за </w:t>
            </w:r>
          </w:p>
          <w:p w:rsidR="00EB3B7A" w:rsidRPr="00F414DF" w:rsidRDefault="00EB3B7A" w:rsidP="00597AAA">
            <w:pPr>
              <w:spacing w:before="0" w:after="0"/>
              <w:ind w:firstLine="0"/>
              <w:jc w:val="center"/>
              <w:rPr>
                <w:rFonts w:eastAsia="Calibri"/>
                <w:b/>
                <w:bCs/>
                <w:lang w:eastAsia="en-US"/>
              </w:rPr>
            </w:pPr>
            <w:r w:rsidRPr="00F414DF">
              <w:rPr>
                <w:rFonts w:eastAsia="Calibri"/>
                <w:b/>
                <w:bCs/>
                <w:iCs/>
                <w:lang w:eastAsia="en-US"/>
              </w:rPr>
              <w:t>202</w:t>
            </w:r>
            <w:r w:rsidR="00597AAA">
              <w:rPr>
                <w:rFonts w:eastAsia="Calibri"/>
                <w:b/>
                <w:bCs/>
                <w:iCs/>
                <w:lang w:eastAsia="en-US"/>
              </w:rPr>
              <w:t>4</w:t>
            </w:r>
            <w:r w:rsidRPr="00F414DF">
              <w:rPr>
                <w:rFonts w:eastAsia="Calibri"/>
                <w:b/>
                <w:bCs/>
                <w:iCs/>
                <w:lang w:eastAsia="en-US"/>
              </w:rPr>
              <w:t xml:space="preserve"> г.</w:t>
            </w:r>
          </w:p>
        </w:tc>
      </w:tr>
      <w:tr w:rsidR="00EB3B7A" w:rsidRPr="008F13AA" w:rsidTr="000A4066">
        <w:trPr>
          <w:trHeight w:val="450"/>
          <w:jc w:val="center"/>
        </w:trPr>
        <w:tc>
          <w:tcPr>
            <w:tcW w:w="4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Cs/>
                <w:lang w:eastAsia="en-US"/>
              </w:rPr>
            </w:pPr>
            <w:r w:rsidRPr="00F414DF">
              <w:rPr>
                <w:rFonts w:eastAsia="Calibri"/>
                <w:bCs/>
                <w:lang w:eastAsia="en-US"/>
              </w:rPr>
              <w:t>Наименование на ключовите индикатори</w:t>
            </w:r>
          </w:p>
        </w:tc>
        <w:tc>
          <w:tcPr>
            <w:tcW w:w="1187" w:type="dxa"/>
            <w:vMerge/>
            <w:tcBorders>
              <w:top w:val="single" w:sz="4" w:space="0" w:color="auto"/>
              <w:left w:val="nil"/>
              <w:bottom w:val="single" w:sz="4" w:space="0" w:color="auto"/>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Cs/>
                <w:lang w:eastAsia="en-US"/>
              </w:rPr>
            </w:pPr>
          </w:p>
        </w:tc>
        <w:tc>
          <w:tcPr>
            <w:tcW w:w="1574" w:type="dxa"/>
            <w:vMerge/>
            <w:tcBorders>
              <w:left w:val="nil"/>
              <w:bottom w:val="single" w:sz="4" w:space="0" w:color="auto"/>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Cs/>
                <w:iCs/>
                <w:lang w:eastAsia="en-US"/>
              </w:rPr>
            </w:pPr>
          </w:p>
        </w:tc>
        <w:tc>
          <w:tcPr>
            <w:tcW w:w="1309" w:type="dxa"/>
            <w:vMerge/>
            <w:tcBorders>
              <w:left w:val="nil"/>
              <w:bottom w:val="single" w:sz="4" w:space="0" w:color="auto"/>
              <w:right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Calibri"/>
                <w:bCs/>
                <w:iCs/>
                <w:lang w:eastAsia="en-US"/>
              </w:rPr>
            </w:pPr>
          </w:p>
        </w:tc>
      </w:tr>
      <w:tr w:rsidR="00597AAA" w:rsidRPr="008F13AA" w:rsidTr="00597AAA">
        <w:trPr>
          <w:trHeight w:val="255"/>
          <w:jc w:val="center"/>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textAlignment w:val="baseline"/>
              <w:rPr>
                <w:rFonts w:eastAsiaTheme="minorHAnsi"/>
                <w:b/>
                <w:bCs/>
                <w:lang w:eastAsia="en-US"/>
              </w:rPr>
            </w:pPr>
            <w:r w:rsidRPr="00F414DF">
              <w:t>1. Равнище на регистрираната безработица</w:t>
            </w:r>
          </w:p>
        </w:tc>
        <w:tc>
          <w:tcPr>
            <w:tcW w:w="1187" w:type="dxa"/>
            <w:tcBorders>
              <w:top w:val="single" w:sz="4" w:space="0" w:color="auto"/>
              <w:left w:val="nil"/>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jc w:val="center"/>
              <w:textAlignment w:val="baseline"/>
              <w:rPr>
                <w:rFonts w:eastAsiaTheme="minorHAnsi"/>
                <w:b/>
                <w:lang w:eastAsia="en-US"/>
              </w:rPr>
            </w:pPr>
            <w:r w:rsidRPr="00F414DF">
              <w:t>%</w:t>
            </w:r>
          </w:p>
        </w:tc>
        <w:tc>
          <w:tcPr>
            <w:tcW w:w="1574" w:type="dxa"/>
            <w:tcBorders>
              <w:top w:val="single" w:sz="4" w:space="0" w:color="auto"/>
              <w:left w:val="nil"/>
              <w:bottom w:val="single" w:sz="4" w:space="0" w:color="auto"/>
              <w:right w:val="single" w:sz="4" w:space="0" w:color="auto"/>
            </w:tcBorders>
            <w:vAlign w:val="center"/>
          </w:tcPr>
          <w:p w:rsidR="00597AAA" w:rsidRPr="00F414DF" w:rsidRDefault="00597AAA" w:rsidP="00597AAA">
            <w:pPr>
              <w:spacing w:before="0" w:after="0"/>
              <w:ind w:firstLine="0"/>
              <w:jc w:val="center"/>
              <w:rPr>
                <w:rFonts w:eastAsia="Batang"/>
                <w:bCs/>
                <w:lang w:eastAsia="ko-KR"/>
              </w:rPr>
            </w:pPr>
            <w:r w:rsidRPr="00F414DF">
              <w:rPr>
                <w:rFonts w:eastAsia="Batang"/>
                <w:bCs/>
                <w:lang w:eastAsia="ko-KR"/>
              </w:rPr>
              <w:t>5.47</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803AA6" w:rsidRDefault="00597AAA" w:rsidP="00597AAA">
            <w:pPr>
              <w:ind w:firstLine="0"/>
              <w:jc w:val="center"/>
            </w:pPr>
            <w:r w:rsidRPr="00211279">
              <w:rPr>
                <w:lang w:val="en-US"/>
              </w:rPr>
              <w:t>5.</w:t>
            </w:r>
            <w:r>
              <w:t>45</w:t>
            </w:r>
          </w:p>
        </w:tc>
      </w:tr>
      <w:tr w:rsidR="00597AAA" w:rsidRPr="008F13AA" w:rsidTr="00597AAA">
        <w:trPr>
          <w:trHeight w:val="255"/>
          <w:jc w:val="center"/>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97AAA" w:rsidRPr="00F414DF" w:rsidRDefault="00597AAA" w:rsidP="00597AAA">
            <w:pPr>
              <w:suppressAutoHyphens/>
              <w:autoSpaceDN w:val="0"/>
              <w:spacing w:before="0" w:after="0"/>
              <w:ind w:firstLine="0"/>
              <w:textAlignment w:val="baseline"/>
              <w:rPr>
                <w:rFonts w:eastAsiaTheme="minorHAnsi"/>
                <w:b/>
                <w:bCs/>
                <w:lang w:eastAsia="en-US"/>
              </w:rPr>
            </w:pPr>
            <w:r w:rsidRPr="00F414DF">
              <w:t>2. Регистрирани безработни лица</w:t>
            </w:r>
          </w:p>
        </w:tc>
        <w:tc>
          <w:tcPr>
            <w:tcW w:w="1187" w:type="dxa"/>
            <w:tcBorders>
              <w:top w:val="single" w:sz="4" w:space="0" w:color="auto"/>
              <w:left w:val="nil"/>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jc w:val="center"/>
              <w:textAlignment w:val="baseline"/>
              <w:rPr>
                <w:rFonts w:eastAsiaTheme="minorHAnsi"/>
                <w:b/>
                <w:lang w:eastAsia="en-US"/>
              </w:rPr>
            </w:pPr>
            <w:r w:rsidRPr="00F414DF">
              <w:t>ср. мес. бр.</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F414DF" w:rsidRDefault="00597AAA" w:rsidP="00597AAA">
            <w:pPr>
              <w:spacing w:before="0" w:after="0"/>
              <w:ind w:firstLine="0"/>
              <w:jc w:val="center"/>
              <w:rPr>
                <w:rFonts w:eastAsia="Batang"/>
                <w:bCs/>
                <w:lang w:eastAsia="ko-KR"/>
              </w:rPr>
            </w:pPr>
            <w:r w:rsidRPr="00F414DF">
              <w:rPr>
                <w:rFonts w:eastAsia="Batang"/>
                <w:bCs/>
                <w:lang w:eastAsia="ko-KR"/>
              </w:rPr>
              <w:t>155 000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803AA6" w:rsidRDefault="00597AAA" w:rsidP="00597AAA">
            <w:pPr>
              <w:ind w:firstLine="0"/>
              <w:jc w:val="center"/>
            </w:pPr>
            <w:r>
              <w:t>154 604</w:t>
            </w:r>
          </w:p>
        </w:tc>
      </w:tr>
      <w:tr w:rsidR="00597AAA" w:rsidRPr="008F13AA" w:rsidTr="00597AAA">
        <w:trPr>
          <w:trHeight w:val="255"/>
          <w:jc w:val="center"/>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textAlignment w:val="baseline"/>
              <w:rPr>
                <w:b/>
              </w:rPr>
            </w:pPr>
            <w:r w:rsidRPr="00F414DF">
              <w:t xml:space="preserve">3. Регистрирани продължително безработни лица </w:t>
            </w:r>
          </w:p>
        </w:tc>
        <w:tc>
          <w:tcPr>
            <w:tcW w:w="1187" w:type="dxa"/>
            <w:tcBorders>
              <w:top w:val="single" w:sz="4" w:space="0" w:color="auto"/>
              <w:left w:val="nil"/>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jc w:val="center"/>
              <w:textAlignment w:val="baseline"/>
              <w:rPr>
                <w:b/>
              </w:rPr>
            </w:pPr>
            <w:r w:rsidRPr="00F414DF">
              <w:t>ср. мес. бр.</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F414DF" w:rsidRDefault="007F3B38" w:rsidP="00597AAA">
            <w:pPr>
              <w:spacing w:before="0" w:after="0"/>
              <w:ind w:firstLine="0"/>
              <w:jc w:val="center"/>
              <w:rPr>
                <w:rFonts w:eastAsia="Batang"/>
                <w:bCs/>
                <w:lang w:eastAsia="ko-KR"/>
              </w:rPr>
            </w:pPr>
            <w:r>
              <w:rPr>
                <w:rFonts w:eastAsia="Batang"/>
                <w:bCs/>
                <w:lang w:eastAsia="ko-KR"/>
              </w:rPr>
              <w:t>33 0</w:t>
            </w:r>
            <w:r w:rsidR="00597AAA" w:rsidRPr="00F414DF">
              <w:rPr>
                <w:rFonts w:eastAsia="Batang"/>
                <w:bCs/>
                <w:lang w:eastAsia="ko-KR"/>
              </w:rPr>
              <w:t>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A01C06" w:rsidRDefault="00597AAA" w:rsidP="00597AAA">
            <w:pPr>
              <w:ind w:firstLine="0"/>
              <w:jc w:val="center"/>
            </w:pPr>
            <w:r>
              <w:t>34 237</w:t>
            </w:r>
          </w:p>
        </w:tc>
      </w:tr>
      <w:tr w:rsidR="00597AAA" w:rsidRPr="008F13AA" w:rsidTr="00597AAA">
        <w:trPr>
          <w:trHeight w:val="255"/>
          <w:jc w:val="center"/>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textAlignment w:val="baseline"/>
            </w:pPr>
            <w:r w:rsidRPr="00F414DF">
              <w:t>4. Регистрирани безработни младежи (15-29 г.)</w:t>
            </w:r>
          </w:p>
        </w:tc>
        <w:tc>
          <w:tcPr>
            <w:tcW w:w="1187" w:type="dxa"/>
            <w:tcBorders>
              <w:top w:val="single" w:sz="4" w:space="0" w:color="auto"/>
              <w:left w:val="nil"/>
              <w:bottom w:val="single" w:sz="4" w:space="0" w:color="auto"/>
              <w:right w:val="single" w:sz="4" w:space="0" w:color="auto"/>
            </w:tcBorders>
            <w:shd w:val="clear" w:color="auto" w:fill="auto"/>
            <w:vAlign w:val="center"/>
          </w:tcPr>
          <w:p w:rsidR="00597AAA" w:rsidRPr="00F414DF" w:rsidRDefault="00597AAA" w:rsidP="00597AAA">
            <w:pPr>
              <w:suppressAutoHyphens/>
              <w:autoSpaceDN w:val="0"/>
              <w:spacing w:before="0" w:after="0"/>
              <w:ind w:firstLine="0"/>
              <w:jc w:val="center"/>
              <w:textAlignment w:val="baseline"/>
              <w:rPr>
                <w:b/>
                <w:bCs/>
              </w:rPr>
            </w:pPr>
            <w:r w:rsidRPr="00F414DF">
              <w:t>ср. мес. бр.</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F414DF" w:rsidRDefault="00597AAA" w:rsidP="00597AAA">
            <w:pPr>
              <w:spacing w:before="0" w:after="0"/>
              <w:ind w:firstLine="0"/>
              <w:jc w:val="center"/>
              <w:rPr>
                <w:rFonts w:eastAsia="Batang"/>
                <w:bCs/>
                <w:lang w:eastAsia="ko-KR"/>
              </w:rPr>
            </w:pPr>
            <w:r w:rsidRPr="00F414DF">
              <w:rPr>
                <w:rFonts w:eastAsia="Batang"/>
                <w:bCs/>
                <w:lang w:eastAsia="ko-KR"/>
              </w:rPr>
              <w:t>18 000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597AAA" w:rsidRPr="00A01C06" w:rsidRDefault="00597AAA" w:rsidP="00597AAA">
            <w:pPr>
              <w:ind w:firstLine="0"/>
              <w:jc w:val="center"/>
            </w:pPr>
            <w:r>
              <w:t>17 841</w:t>
            </w:r>
          </w:p>
        </w:tc>
      </w:tr>
      <w:tr w:rsidR="00EB3B7A" w:rsidRPr="008F13AA" w:rsidTr="00597AAA">
        <w:trPr>
          <w:trHeight w:val="265"/>
          <w:jc w:val="center"/>
        </w:trPr>
        <w:tc>
          <w:tcPr>
            <w:tcW w:w="4992" w:type="dxa"/>
            <w:tcBorders>
              <w:top w:val="single" w:sz="4" w:space="0" w:color="auto"/>
              <w:left w:val="single" w:sz="4" w:space="0" w:color="auto"/>
              <w:bottom w:val="single" w:sz="4" w:space="0" w:color="auto"/>
              <w:right w:val="single" w:sz="4" w:space="0" w:color="auto"/>
            </w:tcBorders>
            <w:shd w:val="clear" w:color="auto" w:fill="auto"/>
          </w:tcPr>
          <w:p w:rsidR="00EB3B7A" w:rsidRPr="00F414DF" w:rsidRDefault="00EB3B7A" w:rsidP="00261B1B">
            <w:pPr>
              <w:suppressAutoHyphens/>
              <w:autoSpaceDN w:val="0"/>
              <w:spacing w:before="0" w:after="0"/>
              <w:ind w:firstLine="0"/>
              <w:textAlignment w:val="baseline"/>
            </w:pPr>
            <w:r w:rsidRPr="00F414DF">
              <w:t>5. Брой наети на работа лица по програми и мерки</w:t>
            </w:r>
          </w:p>
        </w:tc>
        <w:tc>
          <w:tcPr>
            <w:tcW w:w="1187" w:type="dxa"/>
            <w:tcBorders>
              <w:top w:val="single" w:sz="4" w:space="0" w:color="auto"/>
              <w:left w:val="nil"/>
              <w:bottom w:val="single" w:sz="4" w:space="0" w:color="auto"/>
              <w:right w:val="single" w:sz="4" w:space="0" w:color="auto"/>
            </w:tcBorders>
            <w:shd w:val="clear" w:color="auto" w:fill="auto"/>
            <w:vAlign w:val="center"/>
          </w:tcPr>
          <w:p w:rsidR="00EB3B7A" w:rsidRPr="00F414DF" w:rsidRDefault="00EB3B7A" w:rsidP="00261B1B">
            <w:pPr>
              <w:suppressAutoHyphens/>
              <w:autoSpaceDN w:val="0"/>
              <w:spacing w:before="0" w:after="0"/>
              <w:ind w:firstLine="0"/>
              <w:jc w:val="center"/>
              <w:textAlignment w:val="baseline"/>
            </w:pPr>
            <w:r w:rsidRPr="00F414DF">
              <w:t>бр.</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EB3B7A" w:rsidRPr="00F414DF" w:rsidRDefault="00EB3B7A" w:rsidP="002A4416">
            <w:pPr>
              <w:spacing w:before="0" w:after="0"/>
              <w:ind w:firstLine="0"/>
              <w:jc w:val="center"/>
              <w:rPr>
                <w:rFonts w:eastAsia="Batang"/>
                <w:bCs/>
                <w:lang w:eastAsia="ko-KR"/>
              </w:rPr>
            </w:pPr>
            <w:r w:rsidRPr="002A4416">
              <w:rPr>
                <w:rFonts w:eastAsia="Batang"/>
                <w:bCs/>
                <w:lang w:eastAsia="ko-KR"/>
              </w:rPr>
              <w:t xml:space="preserve">7 </w:t>
            </w:r>
            <w:r w:rsidR="002A4416" w:rsidRPr="002A4416">
              <w:rPr>
                <w:rFonts w:eastAsia="Batang"/>
                <w:bCs/>
                <w:lang w:eastAsia="ko-KR"/>
              </w:rPr>
              <w:t>705</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EB3B7A" w:rsidRPr="00F414DF" w:rsidRDefault="00597AAA" w:rsidP="00261B1B">
            <w:pPr>
              <w:spacing w:before="0" w:after="0"/>
              <w:ind w:firstLine="0"/>
              <w:jc w:val="center"/>
              <w:rPr>
                <w:rFonts w:eastAsia="Batang"/>
                <w:bCs/>
                <w:lang w:eastAsia="ko-KR"/>
              </w:rPr>
            </w:pPr>
            <w:r w:rsidRPr="00597AAA">
              <w:rPr>
                <w:rFonts w:eastAsia="Batang"/>
                <w:bCs/>
                <w:lang w:eastAsia="ko-KR"/>
              </w:rPr>
              <w:t>13 022</w:t>
            </w:r>
          </w:p>
        </w:tc>
      </w:tr>
    </w:tbl>
    <w:p w:rsidR="00EB3B7A" w:rsidRPr="00F414DF" w:rsidRDefault="00EB3B7A" w:rsidP="00EB3B7A">
      <w:pPr>
        <w:spacing w:before="0" w:after="0"/>
        <w:ind w:firstLine="0"/>
        <w:jc w:val="both"/>
        <w:rPr>
          <w:rFonts w:eastAsiaTheme="minorHAnsi"/>
          <w:i/>
          <w:color w:val="FF0000"/>
          <w:sz w:val="24"/>
          <w:szCs w:val="24"/>
          <w:lang w:eastAsia="en-US"/>
        </w:rPr>
      </w:pPr>
    </w:p>
    <w:p w:rsidR="00EB3B7A" w:rsidRPr="00F414DF" w:rsidRDefault="00EB3B7A" w:rsidP="00EB3B7A">
      <w:pPr>
        <w:spacing w:before="0" w:after="0"/>
        <w:jc w:val="both"/>
        <w:rPr>
          <w:rFonts w:eastAsiaTheme="minorHAnsi"/>
          <w:sz w:val="24"/>
          <w:szCs w:val="24"/>
          <w:lang w:eastAsia="en-US"/>
        </w:rPr>
      </w:pPr>
      <w:r w:rsidRPr="00F414DF">
        <w:rPr>
          <w:rFonts w:eastAsiaTheme="minorHAnsi"/>
          <w:i/>
          <w:sz w:val="24"/>
          <w:szCs w:val="24"/>
          <w:lang w:eastAsia="en-US"/>
        </w:rPr>
        <w:t>Равнище на регистрираната безработица – п</w:t>
      </w:r>
      <w:r w:rsidRPr="00F414DF">
        <w:rPr>
          <w:rFonts w:eastAsiaTheme="minorHAnsi"/>
          <w:sz w:val="24"/>
          <w:szCs w:val="24"/>
          <w:lang w:eastAsia="en-US"/>
        </w:rPr>
        <w:t>редставлява делът на регистрираните безработни лица от икономически активното население на страната /заети + безработни/ във възрастовия диапазон 15–64 г. Равнището на регистрирана безработица измерва динамиката на процесите на пазара на труда, неговото моментно състояние и е индикатор за настъпващи промени. По него се определят сезонните тенденции и цикличност на процесите на пазара на труда. Фактът, че за изчисляването му се използват реални данни от регистъра на АЗ, го прави достоверен източник за реалното състояние на икономиката.</w:t>
      </w:r>
    </w:p>
    <w:p w:rsidR="00EB3B7A" w:rsidRPr="00F414DF" w:rsidRDefault="00EB3B7A" w:rsidP="00EB3B7A">
      <w:pPr>
        <w:spacing w:before="0" w:after="0"/>
        <w:jc w:val="both"/>
        <w:rPr>
          <w:rFonts w:eastAsiaTheme="minorHAnsi"/>
          <w:sz w:val="24"/>
          <w:szCs w:val="24"/>
          <w:lang w:eastAsia="en-US"/>
        </w:rPr>
      </w:pPr>
      <w:r w:rsidRPr="00F414DF">
        <w:rPr>
          <w:rFonts w:eastAsiaTheme="minorHAnsi"/>
          <w:i/>
          <w:sz w:val="24"/>
          <w:szCs w:val="24"/>
          <w:lang w:eastAsia="en-US"/>
        </w:rPr>
        <w:t>Регистрирани безработни лица</w:t>
      </w:r>
      <w:r w:rsidRPr="00F414DF">
        <w:rPr>
          <w:rFonts w:eastAsiaTheme="minorHAnsi"/>
          <w:sz w:val="24"/>
          <w:szCs w:val="24"/>
          <w:lang w:eastAsia="en-US"/>
        </w:rPr>
        <w:t xml:space="preserve"> – броят на регистрираните безработни и тяхната динамика, както в национален аспект, така и по региони, е индикатор за състоянието на пазара на труда и е ориентир за предлагането на работна сила. За да се изключат сезонните колебания, показателят се изчислява в средномесечен брой и се проследява на годишна база. </w:t>
      </w:r>
    </w:p>
    <w:p w:rsidR="00EB3B7A" w:rsidRPr="00F414DF" w:rsidRDefault="00EB3B7A" w:rsidP="00EB3B7A">
      <w:pPr>
        <w:spacing w:before="0" w:after="0"/>
        <w:jc w:val="both"/>
        <w:rPr>
          <w:rFonts w:eastAsiaTheme="minorHAnsi"/>
          <w:sz w:val="24"/>
          <w:szCs w:val="24"/>
          <w:lang w:eastAsia="en-US"/>
        </w:rPr>
      </w:pPr>
      <w:r w:rsidRPr="00F414DF">
        <w:rPr>
          <w:rFonts w:eastAsiaTheme="minorHAnsi"/>
          <w:i/>
          <w:sz w:val="24"/>
          <w:szCs w:val="24"/>
          <w:lang w:eastAsia="en-US"/>
        </w:rPr>
        <w:t>Регистрирани продължително безработни лица</w:t>
      </w:r>
      <w:r w:rsidRPr="00F414DF">
        <w:rPr>
          <w:rFonts w:eastAsiaTheme="minorHAnsi"/>
          <w:sz w:val="24"/>
          <w:szCs w:val="24"/>
          <w:lang w:eastAsia="en-US"/>
        </w:rPr>
        <w:t xml:space="preserve"> – това са безработни лица с непрекъснато поддържана регистрация в поделение на АЗ не по-малко от 12 месеца. Показателят се изчислява средномесечно, за да се избегнат сезонните колебания. Във връзка с Препоръка</w:t>
      </w:r>
      <w:r w:rsidR="007F3B38">
        <w:rPr>
          <w:rFonts w:eastAsiaTheme="minorHAnsi"/>
          <w:sz w:val="24"/>
          <w:szCs w:val="24"/>
          <w:lang w:eastAsia="en-US"/>
        </w:rPr>
        <w:t>та</w:t>
      </w:r>
      <w:r w:rsidRPr="00F414DF">
        <w:rPr>
          <w:rFonts w:eastAsiaTheme="minorHAnsi"/>
          <w:sz w:val="24"/>
          <w:szCs w:val="24"/>
          <w:lang w:eastAsia="en-US"/>
        </w:rPr>
        <w:t xml:space="preserve"> на Съвета </w:t>
      </w:r>
      <w:r w:rsidR="007F3B38">
        <w:rPr>
          <w:rFonts w:eastAsiaTheme="minorHAnsi"/>
          <w:sz w:val="24"/>
          <w:szCs w:val="24"/>
          <w:lang w:eastAsia="en-US"/>
        </w:rPr>
        <w:t xml:space="preserve">на ЕС относно интеграцията на дълготрайно безработните лица на пазара на труда </w:t>
      </w:r>
      <w:r w:rsidRPr="00F414DF">
        <w:rPr>
          <w:rFonts w:eastAsiaTheme="minorHAnsi"/>
          <w:sz w:val="24"/>
          <w:szCs w:val="24"/>
          <w:lang w:eastAsia="en-US"/>
        </w:rPr>
        <w:t>това е един от ключовите показатели на пазара труда, който се следи в ЕС, включително и в България. Целта на този показател е да се следи ефективността от изпълнението на предприетите мерки по отношение намаляване на броя и относителния дял на продължително безработните с течение на времето. Наблюдението на този индикатор показва доколко са устойчиви резултатите на пазара на труда от изпълнението на Препоръката.</w:t>
      </w:r>
    </w:p>
    <w:p w:rsidR="00EB3B7A" w:rsidRPr="00F414DF" w:rsidRDefault="00EB3B7A" w:rsidP="00EB3B7A">
      <w:pPr>
        <w:spacing w:before="0" w:after="0"/>
        <w:jc w:val="both"/>
        <w:rPr>
          <w:rFonts w:eastAsiaTheme="minorHAnsi"/>
          <w:sz w:val="24"/>
          <w:szCs w:val="24"/>
          <w:lang w:eastAsia="en-US"/>
        </w:rPr>
      </w:pPr>
      <w:r w:rsidRPr="00F414DF">
        <w:rPr>
          <w:rFonts w:eastAsiaTheme="minorHAnsi"/>
          <w:i/>
          <w:sz w:val="24"/>
          <w:szCs w:val="24"/>
          <w:lang w:eastAsia="en-US"/>
        </w:rPr>
        <w:t>Регистрирани безработни младежи (15 - 29 г.)</w:t>
      </w:r>
      <w:r w:rsidRPr="00F414DF">
        <w:rPr>
          <w:rFonts w:eastAsiaTheme="minorHAnsi"/>
          <w:sz w:val="24"/>
          <w:szCs w:val="24"/>
          <w:lang w:eastAsia="en-US"/>
        </w:rPr>
        <w:t xml:space="preserve"> – показателят се изчислява средномесечно, за да се избегнат сезонните колебания. Във връзка с изпълнение на </w:t>
      </w:r>
      <w:r w:rsidR="007F3B38" w:rsidRPr="007F3B38">
        <w:rPr>
          <w:rFonts w:eastAsiaTheme="minorHAnsi"/>
          <w:sz w:val="24"/>
          <w:szCs w:val="24"/>
          <w:lang w:eastAsia="en-US"/>
        </w:rPr>
        <w:t>препоръката на Съвета на ЕС относно „Мост към работни места — укрепване на гаранцията за младежта“</w:t>
      </w:r>
      <w:r w:rsidR="007F3B38">
        <w:rPr>
          <w:rFonts w:eastAsiaTheme="minorHAnsi"/>
          <w:sz w:val="24"/>
          <w:szCs w:val="24"/>
          <w:lang w:eastAsia="en-US"/>
        </w:rPr>
        <w:t xml:space="preserve"> </w:t>
      </w:r>
      <w:r w:rsidRPr="00F414DF">
        <w:rPr>
          <w:rFonts w:eastAsiaTheme="minorHAnsi"/>
          <w:sz w:val="24"/>
          <w:szCs w:val="24"/>
          <w:lang w:eastAsia="en-US"/>
        </w:rPr>
        <w:t>това е един от ключовите показатели на пазара труда, чрез който се проследява ефе</w:t>
      </w:r>
      <w:r w:rsidR="007F3B38">
        <w:rPr>
          <w:rFonts w:eastAsiaTheme="minorHAnsi"/>
          <w:sz w:val="24"/>
          <w:szCs w:val="24"/>
          <w:lang w:eastAsia="en-US"/>
        </w:rPr>
        <w:t>ктивността от прилаганите мерки</w:t>
      </w:r>
      <w:r w:rsidRPr="00F414DF">
        <w:rPr>
          <w:rFonts w:eastAsiaTheme="minorHAnsi"/>
          <w:sz w:val="24"/>
          <w:szCs w:val="24"/>
          <w:lang w:eastAsia="en-US"/>
        </w:rPr>
        <w:t xml:space="preserve"> </w:t>
      </w:r>
      <w:r w:rsidR="007F3B38" w:rsidRPr="007F3B38">
        <w:rPr>
          <w:rFonts w:eastAsiaTheme="minorHAnsi"/>
          <w:sz w:val="24"/>
          <w:szCs w:val="24"/>
          <w:lang w:eastAsia="en-US"/>
        </w:rPr>
        <w:t>за интеграцията на пазара на труда на безработните младежи на възраст 15 – 29 навършени години</w:t>
      </w:r>
      <w:r w:rsidRPr="00F414DF">
        <w:rPr>
          <w:rFonts w:eastAsiaTheme="minorHAnsi"/>
          <w:sz w:val="24"/>
          <w:szCs w:val="24"/>
          <w:lang w:eastAsia="en-US"/>
        </w:rPr>
        <w:t xml:space="preserve">, не само за лицата </w:t>
      </w:r>
      <w:r w:rsidRPr="00F414DF">
        <w:rPr>
          <w:rFonts w:eastAsiaTheme="minorHAnsi"/>
          <w:sz w:val="24"/>
          <w:szCs w:val="24"/>
          <w:lang w:eastAsia="en-US"/>
        </w:rPr>
        <w:lastRenderedPageBreak/>
        <w:t xml:space="preserve">до 24 г., но и тези до 29 г., т.е. обхватът е по-голям, съобразно законодателството на страната за групи в неравностойно положение, в която попадат всички безработни младежи (§ 1, т. 4а от ЗНЗ). </w:t>
      </w:r>
    </w:p>
    <w:p w:rsidR="00EB3B7A" w:rsidRPr="00F414DF" w:rsidRDefault="00EB3B7A" w:rsidP="00EB3B7A">
      <w:pPr>
        <w:spacing w:before="0" w:after="0"/>
        <w:jc w:val="both"/>
        <w:rPr>
          <w:rFonts w:eastAsiaTheme="minorHAnsi"/>
          <w:sz w:val="24"/>
          <w:szCs w:val="24"/>
          <w:lang w:eastAsia="en-US"/>
        </w:rPr>
      </w:pPr>
      <w:r w:rsidRPr="00F414DF">
        <w:rPr>
          <w:rFonts w:eastAsiaTheme="minorHAnsi"/>
          <w:i/>
          <w:sz w:val="24"/>
          <w:szCs w:val="24"/>
          <w:lang w:eastAsia="en-US"/>
        </w:rPr>
        <w:t>Брой наети на работа лица по програми и мерки</w:t>
      </w:r>
      <w:r w:rsidRPr="00F414DF">
        <w:rPr>
          <w:rFonts w:eastAsiaTheme="minorHAnsi"/>
          <w:sz w:val="24"/>
          <w:szCs w:val="24"/>
          <w:lang w:eastAsia="en-US"/>
        </w:rPr>
        <w:t xml:space="preserve">  – този показател се изчислява с цел осигуряване на сравнимост на годишна база и между тях, за да се прецени доколко дадена програма или мярка е „работеща” и приемлива в даден момент на пазара на труда и в този смисъл, дали ползите от нея за обществото са налични. Първичната информация се предоставя от Дирекциите „Бюро по труда” и  съдържа подробни данни за включените в насърчителни режими по ЗНЗ безработни лица и усвояването на средствата по всеки един от тях, както и групирани: по програми и проекти, по мерки за заетост и обучение и за обучение на възрастни.</w:t>
      </w:r>
    </w:p>
    <w:p w:rsidR="00EB3B7A" w:rsidRPr="00F414DF" w:rsidRDefault="00EB3B7A" w:rsidP="00EB3B7A">
      <w:pPr>
        <w:spacing w:before="0" w:after="0"/>
        <w:jc w:val="both"/>
        <w:rPr>
          <w:rFonts w:eastAsiaTheme="minorHAnsi"/>
          <w:sz w:val="24"/>
          <w:szCs w:val="24"/>
          <w:lang w:eastAsia="en-US"/>
        </w:rPr>
      </w:pPr>
      <w:r w:rsidRPr="00F414DF">
        <w:rPr>
          <w:rFonts w:eastAsiaTheme="minorHAnsi"/>
          <w:sz w:val="24"/>
          <w:szCs w:val="24"/>
          <w:lang w:eastAsia="en-US"/>
        </w:rPr>
        <w:t>П</w:t>
      </w:r>
      <w:r w:rsidRPr="008F13AA">
        <w:rPr>
          <w:rFonts w:eastAsiaTheme="minorHAnsi"/>
          <w:sz w:val="24"/>
          <w:szCs w:val="24"/>
          <w:lang w:eastAsia="en-US"/>
        </w:rPr>
        <w:t>олитиката в областта на свободното движение на работници и трудовата миграция се изразява в осигуряване на работна сила за сектори и икономически дейности, където е идентифициран недостиг на кадри, като се използват възможностите за насърчаване на свободното движение на работници в ЕС и механизмите на трудовата миграция, включително чрез спогодби за регулирането ѝ.</w:t>
      </w:r>
    </w:p>
    <w:p w:rsidR="00EB3B7A" w:rsidRPr="00F414DF" w:rsidRDefault="00EB3B7A" w:rsidP="00EB3B7A">
      <w:pPr>
        <w:ind w:firstLine="0"/>
        <w:jc w:val="center"/>
        <w:rPr>
          <w:rFonts w:eastAsiaTheme="minorHAnsi"/>
          <w:b/>
          <w:sz w:val="24"/>
          <w:szCs w:val="24"/>
          <w:lang w:eastAsia="en-US"/>
        </w:rPr>
      </w:pPr>
      <w:r w:rsidRPr="00F414DF">
        <w:rPr>
          <w:rFonts w:eastAsiaTheme="minorHAnsi"/>
          <w:b/>
          <w:sz w:val="24"/>
          <w:szCs w:val="24"/>
          <w:lang w:eastAsia="en-US"/>
        </w:rPr>
        <w:t>Политика в областта на трудовите отношения</w:t>
      </w:r>
    </w:p>
    <w:p w:rsidR="00F40D0B" w:rsidRPr="00F40D0B" w:rsidRDefault="00F40D0B" w:rsidP="00F40D0B">
      <w:pPr>
        <w:spacing w:before="0" w:after="0"/>
        <w:contextualSpacing/>
        <w:jc w:val="both"/>
        <w:rPr>
          <w:sz w:val="24"/>
          <w:szCs w:val="24"/>
        </w:rPr>
      </w:pPr>
      <w:r w:rsidRPr="00F40D0B">
        <w:rPr>
          <w:sz w:val="24"/>
          <w:szCs w:val="24"/>
        </w:rPr>
        <w:t>Стратегическата цел на политиката в областта на трудовите отношения на МТСП съчетава три основни стратегически направления: повишаване на качеството и сигурността на труда; продължаване на пенсионната реформа и търсене на възможности за допълнително нарастване на пенсиите и защита на правата на българите зад граница в областта на социалната сигурност.</w:t>
      </w:r>
    </w:p>
    <w:p w:rsidR="00F40D0B" w:rsidRPr="00F40D0B" w:rsidRDefault="00F40D0B" w:rsidP="00F40D0B">
      <w:pPr>
        <w:spacing w:before="0" w:after="0"/>
        <w:contextualSpacing/>
        <w:jc w:val="both"/>
        <w:rPr>
          <w:sz w:val="24"/>
          <w:szCs w:val="24"/>
        </w:rPr>
      </w:pPr>
      <w:r w:rsidRPr="00F40D0B">
        <w:rPr>
          <w:sz w:val="24"/>
          <w:szCs w:val="24"/>
        </w:rPr>
        <w:t>За постигането ѝ, през първото полугодие на 2024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w:t>
      </w:r>
    </w:p>
    <w:p w:rsidR="00EB3B7A" w:rsidRDefault="00F40D0B" w:rsidP="008F65EB">
      <w:pPr>
        <w:spacing w:before="0"/>
        <w:jc w:val="both"/>
        <w:rPr>
          <w:sz w:val="24"/>
          <w:szCs w:val="24"/>
        </w:rPr>
      </w:pPr>
      <w:r w:rsidRPr="00F40D0B">
        <w:rPr>
          <w:sz w:val="24"/>
          <w:szCs w:val="24"/>
        </w:rPr>
        <w:t>По оперативни данни на НОИ през 2024 г. в страната са регистрирани общо 2</w:t>
      </w:r>
      <w:r>
        <w:rPr>
          <w:sz w:val="24"/>
          <w:szCs w:val="24"/>
        </w:rPr>
        <w:t> </w:t>
      </w:r>
      <w:r w:rsidRPr="00F40D0B">
        <w:rPr>
          <w:sz w:val="24"/>
          <w:szCs w:val="24"/>
        </w:rPr>
        <w:t>823 трудови злополуки (2</w:t>
      </w:r>
      <w:r>
        <w:rPr>
          <w:sz w:val="24"/>
          <w:szCs w:val="24"/>
        </w:rPr>
        <w:t> </w:t>
      </w:r>
      <w:r w:rsidRPr="00F40D0B">
        <w:rPr>
          <w:sz w:val="24"/>
          <w:szCs w:val="24"/>
        </w:rPr>
        <w:t>709 за 2023 г.). От тях 2</w:t>
      </w:r>
      <w:r>
        <w:rPr>
          <w:sz w:val="24"/>
          <w:szCs w:val="24"/>
        </w:rPr>
        <w:t> </w:t>
      </w:r>
      <w:r w:rsidRPr="00F40D0B">
        <w:rPr>
          <w:sz w:val="24"/>
          <w:szCs w:val="24"/>
        </w:rPr>
        <w:t>376 броя злополуки по чл. 55, ал. 1 от Кодекса за социално осигуряване (КСО) - станали по време и във връзка, или по повод на извършваната работа, както и при всяка работа, извършвана в интерес на предприятието (при 2</w:t>
      </w:r>
      <w:r>
        <w:rPr>
          <w:sz w:val="24"/>
          <w:szCs w:val="24"/>
        </w:rPr>
        <w:t> </w:t>
      </w:r>
      <w:r w:rsidRPr="00F40D0B">
        <w:rPr>
          <w:sz w:val="24"/>
          <w:szCs w:val="24"/>
        </w:rPr>
        <w:t>287 бр. за същия период през 2023 г. ); 53 броя смъртни трудови злополуки по чл. 55, ал. 1 от КСО от общо 64 случая с летален изход (при общо 87 броя за 2023 г., от които 71 броя по чл. 55, ал. 1 от КСО); няма регистрирана злополука с резултат трайно намалена работоспособност /инвалидност за пострадалия (при 1 бр. през 2023 г.). При смъртните злополуки намалението на годишна база е с 18 броя или с 25%. В резултат на трудови злополуки на работното място през 2024 г. са загубени 137</w:t>
      </w:r>
      <w:r>
        <w:rPr>
          <w:sz w:val="24"/>
          <w:szCs w:val="24"/>
        </w:rPr>
        <w:t> </w:t>
      </w:r>
      <w:r w:rsidRPr="00F40D0B">
        <w:rPr>
          <w:sz w:val="24"/>
          <w:szCs w:val="24"/>
        </w:rPr>
        <w:t>063 работни дни при 140</w:t>
      </w:r>
      <w:r>
        <w:rPr>
          <w:sz w:val="24"/>
          <w:szCs w:val="24"/>
        </w:rPr>
        <w:t> </w:t>
      </w:r>
      <w:r w:rsidRPr="00F40D0B">
        <w:rPr>
          <w:sz w:val="24"/>
          <w:szCs w:val="24"/>
        </w:rPr>
        <w:t>317 през 2023 г., или намаление от 2.3%.</w:t>
      </w:r>
    </w:p>
    <w:p w:rsidR="008F65EB" w:rsidRPr="00F414DF" w:rsidRDefault="008F65EB" w:rsidP="008F65EB">
      <w:pPr>
        <w:spacing w:before="0"/>
        <w:ind w:firstLine="0"/>
        <w:jc w:val="right"/>
        <w:rPr>
          <w:sz w:val="24"/>
          <w:szCs w:val="24"/>
        </w:rPr>
      </w:pPr>
      <w:r>
        <w:rPr>
          <w:sz w:val="24"/>
          <w:szCs w:val="24"/>
        </w:rPr>
        <w:t>Ключови индикатори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5"/>
        <w:gridCol w:w="1706"/>
        <w:gridCol w:w="1632"/>
        <w:gridCol w:w="1289"/>
      </w:tblGrid>
      <w:tr w:rsidR="00EB3B7A" w:rsidRPr="008F13AA" w:rsidTr="000A4066">
        <w:trPr>
          <w:trHeight w:val="255"/>
          <w:jc w:val="center"/>
        </w:trPr>
        <w:tc>
          <w:tcPr>
            <w:tcW w:w="4435" w:type="dxa"/>
            <w:shd w:val="clear" w:color="auto" w:fill="D9D9D9" w:themeFill="background1" w:themeFillShade="D9"/>
            <w:vAlign w:val="center"/>
          </w:tcPr>
          <w:p w:rsidR="00EB3B7A" w:rsidRPr="00F414DF" w:rsidRDefault="00EB3B7A" w:rsidP="00261B1B">
            <w:pPr>
              <w:spacing w:before="0" w:after="0"/>
              <w:ind w:firstLine="0"/>
              <w:jc w:val="center"/>
              <w:rPr>
                <w:rFonts w:eastAsiaTheme="minorHAnsi"/>
                <w:b/>
                <w:iCs/>
                <w:lang w:eastAsia="en-US"/>
              </w:rPr>
            </w:pPr>
            <w:r w:rsidRPr="00F414DF">
              <w:rPr>
                <w:rFonts w:eastAsiaTheme="minorHAnsi"/>
                <w:b/>
                <w:iCs/>
                <w:lang w:eastAsia="en-US"/>
              </w:rPr>
              <w:t>Политика в областта на трудовите отношения</w:t>
            </w:r>
          </w:p>
        </w:tc>
        <w:tc>
          <w:tcPr>
            <w:tcW w:w="1706" w:type="dxa"/>
            <w:vMerge w:val="restart"/>
            <w:shd w:val="clear" w:color="auto" w:fill="D9D9D9" w:themeFill="background1" w:themeFillShade="D9"/>
            <w:vAlign w:val="center"/>
          </w:tcPr>
          <w:p w:rsidR="00EB3B7A" w:rsidRPr="00F414DF" w:rsidRDefault="00EB3B7A" w:rsidP="00261B1B">
            <w:pPr>
              <w:spacing w:before="0" w:after="0"/>
              <w:ind w:firstLine="0"/>
              <w:jc w:val="center"/>
              <w:rPr>
                <w:rFonts w:eastAsiaTheme="minorHAnsi"/>
                <w:b/>
                <w:lang w:eastAsia="en-US"/>
              </w:rPr>
            </w:pPr>
            <w:r w:rsidRPr="00F414DF">
              <w:rPr>
                <w:rFonts w:eastAsiaTheme="minorHAnsi"/>
                <w:b/>
                <w:bCs/>
                <w:lang w:eastAsia="en-US"/>
              </w:rPr>
              <w:t>Мерна единица</w:t>
            </w:r>
          </w:p>
        </w:tc>
        <w:tc>
          <w:tcPr>
            <w:tcW w:w="1632" w:type="dxa"/>
            <w:vMerge w:val="restart"/>
            <w:shd w:val="clear" w:color="auto" w:fill="D9D9D9" w:themeFill="background1" w:themeFillShade="D9"/>
            <w:vAlign w:val="center"/>
          </w:tcPr>
          <w:p w:rsidR="008F65EB" w:rsidRDefault="00EB3B7A" w:rsidP="008F65EB">
            <w:pPr>
              <w:spacing w:before="0" w:after="0"/>
              <w:ind w:firstLine="0"/>
              <w:jc w:val="center"/>
              <w:rPr>
                <w:rFonts w:eastAsiaTheme="minorHAnsi"/>
                <w:b/>
                <w:bCs/>
                <w:iCs/>
                <w:lang w:eastAsia="en-US"/>
              </w:rPr>
            </w:pPr>
            <w:r w:rsidRPr="00F414DF">
              <w:rPr>
                <w:rFonts w:eastAsiaTheme="minorHAnsi"/>
                <w:b/>
                <w:bCs/>
                <w:iCs/>
                <w:lang w:eastAsia="en-US"/>
              </w:rPr>
              <w:t>Целева стойност</w:t>
            </w:r>
          </w:p>
          <w:p w:rsidR="00EB3B7A" w:rsidRPr="00F414DF" w:rsidRDefault="00EB3B7A" w:rsidP="008F65EB">
            <w:pPr>
              <w:spacing w:before="0" w:after="0"/>
              <w:ind w:firstLine="0"/>
              <w:jc w:val="center"/>
              <w:rPr>
                <w:rFonts w:eastAsiaTheme="minorHAnsi"/>
                <w:b/>
                <w:bCs/>
                <w:lang w:eastAsia="en-US"/>
              </w:rPr>
            </w:pPr>
            <w:r w:rsidRPr="00F414DF">
              <w:rPr>
                <w:rFonts w:eastAsiaTheme="minorHAnsi"/>
                <w:b/>
                <w:bCs/>
                <w:iCs/>
                <w:lang w:eastAsia="en-US"/>
              </w:rPr>
              <w:t>за 202</w:t>
            </w:r>
            <w:r w:rsidR="008F65EB">
              <w:rPr>
                <w:rFonts w:eastAsiaTheme="minorHAnsi"/>
                <w:b/>
                <w:bCs/>
                <w:iCs/>
                <w:lang w:eastAsia="en-US"/>
              </w:rPr>
              <w:t>4</w:t>
            </w:r>
            <w:r w:rsidRPr="00F414DF">
              <w:rPr>
                <w:rFonts w:eastAsiaTheme="minorHAnsi"/>
                <w:b/>
                <w:bCs/>
                <w:iCs/>
                <w:lang w:eastAsia="en-US"/>
              </w:rPr>
              <w:t xml:space="preserve"> г.</w:t>
            </w:r>
          </w:p>
        </w:tc>
        <w:tc>
          <w:tcPr>
            <w:tcW w:w="1289" w:type="dxa"/>
            <w:vMerge w:val="restart"/>
            <w:shd w:val="clear" w:color="auto" w:fill="D9D9D9" w:themeFill="background1" w:themeFillShade="D9"/>
            <w:vAlign w:val="center"/>
          </w:tcPr>
          <w:p w:rsidR="008F65EB" w:rsidRDefault="00EB3B7A" w:rsidP="00ED49C1">
            <w:pPr>
              <w:spacing w:before="0" w:after="0"/>
              <w:ind w:firstLine="0"/>
              <w:jc w:val="center"/>
              <w:rPr>
                <w:rFonts w:eastAsiaTheme="minorHAnsi"/>
                <w:b/>
                <w:bCs/>
                <w:iCs/>
                <w:lang w:eastAsia="en-US"/>
              </w:rPr>
            </w:pPr>
            <w:r w:rsidRPr="00F414DF">
              <w:rPr>
                <w:rFonts w:eastAsiaTheme="minorHAnsi"/>
                <w:b/>
                <w:bCs/>
                <w:iCs/>
                <w:lang w:eastAsia="en-US"/>
              </w:rPr>
              <w:t>Отчет</w:t>
            </w:r>
          </w:p>
          <w:p w:rsidR="00EB3B7A" w:rsidRPr="00F414DF" w:rsidRDefault="00EB3B7A" w:rsidP="008F65EB">
            <w:pPr>
              <w:spacing w:before="0" w:after="0"/>
              <w:ind w:firstLine="0"/>
              <w:jc w:val="center"/>
              <w:rPr>
                <w:rFonts w:eastAsiaTheme="minorHAnsi"/>
                <w:b/>
                <w:bCs/>
                <w:lang w:eastAsia="en-US"/>
              </w:rPr>
            </w:pPr>
            <w:r w:rsidRPr="00F414DF">
              <w:rPr>
                <w:rFonts w:eastAsiaTheme="minorHAnsi"/>
                <w:b/>
                <w:bCs/>
                <w:iCs/>
                <w:lang w:eastAsia="en-US"/>
              </w:rPr>
              <w:t>за 202</w:t>
            </w:r>
            <w:r w:rsidR="008F65EB">
              <w:rPr>
                <w:rFonts w:eastAsiaTheme="minorHAnsi"/>
                <w:b/>
                <w:bCs/>
                <w:iCs/>
                <w:lang w:eastAsia="en-US"/>
              </w:rPr>
              <w:t>4</w:t>
            </w:r>
            <w:r w:rsidRPr="00F414DF">
              <w:rPr>
                <w:rFonts w:eastAsiaTheme="minorHAnsi"/>
                <w:b/>
                <w:bCs/>
                <w:iCs/>
                <w:lang w:eastAsia="en-US"/>
              </w:rPr>
              <w:t xml:space="preserve"> г.</w:t>
            </w:r>
          </w:p>
        </w:tc>
      </w:tr>
      <w:tr w:rsidR="00EB3B7A" w:rsidRPr="008F13AA" w:rsidTr="000A4066">
        <w:trPr>
          <w:trHeight w:val="428"/>
          <w:jc w:val="center"/>
        </w:trPr>
        <w:tc>
          <w:tcPr>
            <w:tcW w:w="4435" w:type="dxa"/>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lang w:eastAsia="en-US"/>
              </w:rPr>
            </w:pPr>
            <w:r w:rsidRPr="00F414DF">
              <w:rPr>
                <w:rFonts w:eastAsiaTheme="minorHAnsi"/>
                <w:bCs/>
                <w:lang w:eastAsia="en-US"/>
              </w:rPr>
              <w:t xml:space="preserve">Наименование на ключовите индикатори </w:t>
            </w:r>
          </w:p>
        </w:tc>
        <w:tc>
          <w:tcPr>
            <w:tcW w:w="1706" w:type="dxa"/>
            <w:vMerge/>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lang w:eastAsia="en-US"/>
              </w:rPr>
            </w:pPr>
          </w:p>
        </w:tc>
        <w:tc>
          <w:tcPr>
            <w:tcW w:w="1632" w:type="dxa"/>
            <w:vMerge/>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iCs/>
                <w:lang w:eastAsia="en-US"/>
              </w:rPr>
            </w:pPr>
          </w:p>
        </w:tc>
        <w:tc>
          <w:tcPr>
            <w:tcW w:w="1289" w:type="dxa"/>
            <w:vMerge/>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iCs/>
                <w:lang w:eastAsia="en-US"/>
              </w:rPr>
            </w:pPr>
          </w:p>
        </w:tc>
      </w:tr>
      <w:tr w:rsidR="00EB3B7A" w:rsidRPr="008F13AA" w:rsidTr="008F65EB">
        <w:trPr>
          <w:trHeight w:val="527"/>
          <w:jc w:val="center"/>
        </w:trPr>
        <w:tc>
          <w:tcPr>
            <w:tcW w:w="4435" w:type="dxa"/>
            <w:shd w:val="clear" w:color="auto" w:fill="auto"/>
            <w:vAlign w:val="center"/>
          </w:tcPr>
          <w:p w:rsidR="00EB3B7A" w:rsidRPr="00F414DF" w:rsidRDefault="00EB3B7A" w:rsidP="00261B1B">
            <w:pPr>
              <w:spacing w:before="0" w:after="0"/>
              <w:ind w:firstLine="0"/>
              <w:rPr>
                <w:rFonts w:eastAsiaTheme="minorHAnsi"/>
                <w:lang w:eastAsia="en-US"/>
              </w:rPr>
            </w:pPr>
            <w:r w:rsidRPr="00F414DF">
              <w:rPr>
                <w:rFonts w:eastAsiaTheme="minorHAnsi"/>
                <w:lang w:eastAsia="en-US"/>
              </w:rPr>
              <w:t xml:space="preserve">1. </w:t>
            </w:r>
            <w:r w:rsidRPr="008F13AA">
              <w:rPr>
                <w:rFonts w:eastAsiaTheme="minorHAnsi"/>
                <w:lang w:eastAsia="en-US"/>
              </w:rPr>
              <w:t>Запазване под 12% на работещите при неспазени хигиенни норми в проверените предприятия с данни за условия на труд спрямо общия брой работещи в тези предприятия</w:t>
            </w:r>
          </w:p>
        </w:tc>
        <w:tc>
          <w:tcPr>
            <w:tcW w:w="1706" w:type="dxa"/>
            <w:shd w:val="clear" w:color="auto" w:fill="auto"/>
          </w:tcPr>
          <w:p w:rsidR="00EB3B7A" w:rsidRPr="00F414DF" w:rsidRDefault="00EB3B7A" w:rsidP="00261B1B">
            <w:pPr>
              <w:spacing w:before="0" w:after="0"/>
              <w:ind w:firstLine="0"/>
              <w:rPr>
                <w:rFonts w:eastAsiaTheme="minorHAnsi"/>
                <w:lang w:eastAsia="en-US"/>
              </w:rPr>
            </w:pPr>
            <w:r w:rsidRPr="00F414DF">
              <w:rPr>
                <w:rFonts w:eastAsiaTheme="minorHAnsi"/>
                <w:lang w:eastAsia="en-US"/>
              </w:rPr>
              <w:t>% спрямо общия брой работещи в проверените предприятия</w:t>
            </w:r>
          </w:p>
        </w:tc>
        <w:tc>
          <w:tcPr>
            <w:tcW w:w="1632" w:type="dxa"/>
            <w:shd w:val="clear" w:color="auto" w:fill="auto"/>
            <w:vAlign w:val="center"/>
          </w:tcPr>
          <w:p w:rsidR="00EB3B7A" w:rsidRPr="00F414DF" w:rsidRDefault="00EB3B7A" w:rsidP="00261B1B">
            <w:pPr>
              <w:spacing w:before="0" w:after="0"/>
              <w:ind w:firstLine="0"/>
              <w:jc w:val="center"/>
              <w:rPr>
                <w:rFonts w:eastAsiaTheme="minorHAnsi"/>
                <w:lang w:eastAsia="en-US"/>
              </w:rPr>
            </w:pPr>
            <w:r w:rsidRPr="00F414DF">
              <w:rPr>
                <w:rFonts w:eastAsiaTheme="minorHAnsi"/>
                <w:lang w:eastAsia="en-US"/>
              </w:rPr>
              <w:t>под 12</w:t>
            </w:r>
          </w:p>
        </w:tc>
        <w:tc>
          <w:tcPr>
            <w:tcW w:w="1289" w:type="dxa"/>
            <w:shd w:val="clear" w:color="auto" w:fill="auto"/>
            <w:vAlign w:val="center"/>
          </w:tcPr>
          <w:p w:rsidR="00EB3B7A" w:rsidRPr="00F414DF" w:rsidRDefault="00F40D0B" w:rsidP="00F40D0B">
            <w:pPr>
              <w:spacing w:before="0" w:after="0"/>
              <w:ind w:firstLine="0"/>
              <w:jc w:val="center"/>
              <w:rPr>
                <w:rFonts w:eastAsiaTheme="minorHAnsi"/>
                <w:lang w:eastAsia="en-US"/>
              </w:rPr>
            </w:pPr>
            <w:r>
              <w:rPr>
                <w:rFonts w:eastAsiaTheme="minorHAnsi"/>
                <w:lang w:eastAsia="en-US"/>
              </w:rPr>
              <w:t>4,7</w:t>
            </w:r>
          </w:p>
        </w:tc>
      </w:tr>
      <w:tr w:rsidR="00EB3B7A" w:rsidRPr="008F13AA" w:rsidTr="008F65EB">
        <w:trPr>
          <w:trHeight w:val="392"/>
          <w:jc w:val="center"/>
        </w:trPr>
        <w:tc>
          <w:tcPr>
            <w:tcW w:w="4435" w:type="dxa"/>
            <w:shd w:val="clear" w:color="auto" w:fill="auto"/>
            <w:vAlign w:val="center"/>
          </w:tcPr>
          <w:p w:rsidR="00EB3B7A" w:rsidRPr="00F414DF" w:rsidRDefault="00EB3B7A" w:rsidP="00261B1B">
            <w:pPr>
              <w:spacing w:before="0" w:after="0"/>
              <w:ind w:firstLine="0"/>
              <w:rPr>
                <w:rFonts w:eastAsiaTheme="minorHAnsi"/>
                <w:lang w:eastAsia="en-US"/>
              </w:rPr>
            </w:pPr>
            <w:r w:rsidRPr="00F414DF">
              <w:rPr>
                <w:rFonts w:eastAsiaTheme="minorHAnsi"/>
                <w:lang w:eastAsia="en-US"/>
              </w:rPr>
              <w:lastRenderedPageBreak/>
              <w:t>2. Задържане/намаляване честотата на трудовите злополуки (ТЗ)</w:t>
            </w:r>
          </w:p>
        </w:tc>
        <w:tc>
          <w:tcPr>
            <w:tcW w:w="1706" w:type="dxa"/>
            <w:shd w:val="clear" w:color="auto" w:fill="auto"/>
          </w:tcPr>
          <w:p w:rsidR="00EB3B7A" w:rsidRPr="00F414DF" w:rsidRDefault="00EB3B7A" w:rsidP="00261B1B">
            <w:pPr>
              <w:spacing w:before="0" w:after="0"/>
              <w:ind w:firstLine="0"/>
              <w:jc w:val="both"/>
              <w:rPr>
                <w:rFonts w:eastAsiaTheme="minorHAnsi"/>
                <w:lang w:eastAsia="en-US"/>
              </w:rPr>
            </w:pPr>
            <w:r w:rsidRPr="00F414DF">
              <w:rPr>
                <w:rFonts w:eastAsiaTheme="minorHAnsi"/>
                <w:lang w:eastAsia="en-US"/>
              </w:rPr>
              <w:t>коефициент на честота</w:t>
            </w:r>
            <w:r w:rsidRPr="00F414DF">
              <w:rPr>
                <w:rFonts w:eastAsiaTheme="minorHAnsi"/>
                <w:vertAlign w:val="superscript"/>
                <w:lang w:eastAsia="en-US"/>
              </w:rPr>
              <w:footnoteReference w:id="1"/>
            </w:r>
            <w:r w:rsidRPr="00F414DF">
              <w:rPr>
                <w:rFonts w:eastAsiaTheme="minorHAnsi"/>
                <w:lang w:eastAsia="en-US"/>
              </w:rPr>
              <w:t xml:space="preserve"> </w:t>
            </w:r>
          </w:p>
        </w:tc>
        <w:tc>
          <w:tcPr>
            <w:tcW w:w="1632" w:type="dxa"/>
            <w:shd w:val="clear" w:color="auto" w:fill="auto"/>
            <w:vAlign w:val="center"/>
          </w:tcPr>
          <w:p w:rsidR="00EB3B7A" w:rsidRPr="00F414DF" w:rsidRDefault="00EB3B7A" w:rsidP="00261B1B">
            <w:pPr>
              <w:spacing w:before="0" w:after="0"/>
              <w:ind w:firstLine="0"/>
              <w:jc w:val="center"/>
              <w:rPr>
                <w:rFonts w:eastAsiaTheme="minorHAnsi"/>
                <w:lang w:eastAsia="en-US"/>
              </w:rPr>
            </w:pPr>
            <w:r w:rsidRPr="00F414DF">
              <w:rPr>
                <w:rFonts w:eastAsiaTheme="minorHAnsi"/>
                <w:lang w:eastAsia="en-US"/>
              </w:rPr>
              <w:t>под 1,00</w:t>
            </w:r>
          </w:p>
        </w:tc>
        <w:tc>
          <w:tcPr>
            <w:tcW w:w="1289" w:type="dxa"/>
            <w:shd w:val="clear" w:color="auto" w:fill="auto"/>
            <w:vAlign w:val="center"/>
          </w:tcPr>
          <w:p w:rsidR="00EB3B7A" w:rsidRPr="00F414DF" w:rsidRDefault="00EB3B7A" w:rsidP="00F40D0B">
            <w:pPr>
              <w:spacing w:before="0" w:after="0"/>
              <w:ind w:firstLine="0"/>
              <w:jc w:val="center"/>
              <w:rPr>
                <w:rFonts w:eastAsiaTheme="minorHAnsi"/>
                <w:lang w:eastAsia="en-US"/>
              </w:rPr>
            </w:pPr>
            <w:r w:rsidRPr="00F414DF">
              <w:rPr>
                <w:rFonts w:eastAsiaTheme="minorHAnsi"/>
                <w:lang w:eastAsia="en-US"/>
              </w:rPr>
              <w:t>1.0</w:t>
            </w:r>
            <w:r w:rsidR="00F40D0B">
              <w:rPr>
                <w:rFonts w:eastAsiaTheme="minorHAnsi"/>
                <w:lang w:eastAsia="en-US"/>
              </w:rPr>
              <w:t>6</w:t>
            </w:r>
          </w:p>
        </w:tc>
      </w:tr>
      <w:tr w:rsidR="00EB3B7A" w:rsidRPr="008F13AA" w:rsidTr="008F65EB">
        <w:trPr>
          <w:trHeight w:val="527"/>
          <w:jc w:val="center"/>
        </w:trPr>
        <w:tc>
          <w:tcPr>
            <w:tcW w:w="4435" w:type="dxa"/>
            <w:shd w:val="clear" w:color="auto" w:fill="auto"/>
            <w:vAlign w:val="center"/>
          </w:tcPr>
          <w:p w:rsidR="00EB3B7A" w:rsidRPr="00F414DF" w:rsidRDefault="00EB3B7A" w:rsidP="00261B1B">
            <w:pPr>
              <w:spacing w:before="0" w:after="0"/>
              <w:ind w:firstLine="0"/>
              <w:rPr>
                <w:rFonts w:eastAsiaTheme="minorHAnsi"/>
                <w:lang w:eastAsia="en-US"/>
              </w:rPr>
            </w:pPr>
            <w:r w:rsidRPr="00F414DF">
              <w:rPr>
                <w:rFonts w:eastAsiaTheme="minorHAnsi"/>
                <w:lang w:eastAsia="en-US"/>
              </w:rPr>
              <w:t>3. Намаляване броя на трудовите злополуки, довели до трайна неработоспособност или смърт</w:t>
            </w:r>
          </w:p>
        </w:tc>
        <w:tc>
          <w:tcPr>
            <w:tcW w:w="1706" w:type="dxa"/>
            <w:shd w:val="clear" w:color="auto" w:fill="auto"/>
          </w:tcPr>
          <w:p w:rsidR="00EB3B7A" w:rsidRPr="00F414DF" w:rsidRDefault="00EB3B7A" w:rsidP="00261B1B">
            <w:pPr>
              <w:spacing w:before="0" w:after="0"/>
              <w:ind w:firstLine="0"/>
              <w:jc w:val="both"/>
              <w:rPr>
                <w:rFonts w:eastAsiaTheme="minorHAnsi"/>
                <w:lang w:eastAsia="en-US"/>
              </w:rPr>
            </w:pPr>
            <w:r w:rsidRPr="00F414DF">
              <w:rPr>
                <w:rFonts w:eastAsiaTheme="minorHAnsi"/>
                <w:lang w:eastAsia="en-US"/>
              </w:rPr>
              <w:t>брой</w:t>
            </w:r>
          </w:p>
        </w:tc>
        <w:tc>
          <w:tcPr>
            <w:tcW w:w="1632" w:type="dxa"/>
            <w:shd w:val="clear" w:color="auto" w:fill="auto"/>
            <w:vAlign w:val="center"/>
          </w:tcPr>
          <w:p w:rsidR="00EB3B7A" w:rsidRPr="00F414DF" w:rsidRDefault="00EB3B7A" w:rsidP="00261B1B">
            <w:pPr>
              <w:spacing w:before="0" w:after="0"/>
              <w:ind w:firstLine="0"/>
              <w:jc w:val="center"/>
              <w:rPr>
                <w:rFonts w:eastAsiaTheme="minorHAnsi"/>
                <w:lang w:val="en-US" w:eastAsia="en-US"/>
              </w:rPr>
            </w:pPr>
            <w:r w:rsidRPr="00F414DF">
              <w:rPr>
                <w:rFonts w:eastAsiaTheme="minorHAnsi"/>
                <w:lang w:eastAsia="en-US"/>
              </w:rPr>
              <w:t>не повече от 1</w:t>
            </w:r>
            <w:r w:rsidRPr="00F414DF">
              <w:rPr>
                <w:rFonts w:eastAsiaTheme="minorHAnsi"/>
                <w:lang w:val="en-US" w:eastAsia="en-US"/>
              </w:rPr>
              <w:t>25</w:t>
            </w:r>
          </w:p>
        </w:tc>
        <w:tc>
          <w:tcPr>
            <w:tcW w:w="1289" w:type="dxa"/>
            <w:shd w:val="clear" w:color="auto" w:fill="auto"/>
            <w:vAlign w:val="center"/>
          </w:tcPr>
          <w:p w:rsidR="00EB3B7A" w:rsidRPr="00F414DF" w:rsidRDefault="00F40D0B" w:rsidP="00261B1B">
            <w:pPr>
              <w:spacing w:before="0" w:after="0"/>
              <w:ind w:firstLine="0"/>
              <w:jc w:val="center"/>
              <w:rPr>
                <w:rFonts w:eastAsiaTheme="minorHAnsi"/>
                <w:lang w:eastAsia="en-US"/>
              </w:rPr>
            </w:pPr>
            <w:r>
              <w:rPr>
                <w:rFonts w:eastAsiaTheme="minorHAnsi"/>
                <w:lang w:eastAsia="en-US"/>
              </w:rPr>
              <w:t>53</w:t>
            </w:r>
          </w:p>
        </w:tc>
      </w:tr>
    </w:tbl>
    <w:p w:rsidR="00EB3B7A" w:rsidRPr="00F414DF" w:rsidRDefault="00EB3B7A" w:rsidP="008F65EB">
      <w:pPr>
        <w:spacing w:after="0"/>
        <w:jc w:val="both"/>
        <w:rPr>
          <w:rFonts w:eastAsiaTheme="minorHAnsi"/>
          <w:sz w:val="24"/>
          <w:szCs w:val="24"/>
          <w:lang w:eastAsia="en-US"/>
        </w:rPr>
      </w:pPr>
      <w:r w:rsidRPr="00F414DF">
        <w:rPr>
          <w:rFonts w:eastAsiaTheme="minorHAnsi"/>
          <w:sz w:val="24"/>
          <w:szCs w:val="24"/>
          <w:lang w:eastAsia="en-US"/>
        </w:rPr>
        <w:t xml:space="preserve">Чрез тези индикатори се извежда акцентът върху превенцията по спазването на трудовото законодателство и в частност за осигуряване на здравословни и безопасни условия на труд по работните места. </w:t>
      </w:r>
    </w:p>
    <w:p w:rsidR="008F65EB" w:rsidRDefault="00EB3B7A" w:rsidP="00EB3B7A">
      <w:pPr>
        <w:spacing w:before="0" w:after="0"/>
        <w:jc w:val="both"/>
        <w:rPr>
          <w:sz w:val="24"/>
          <w:szCs w:val="24"/>
        </w:rPr>
      </w:pPr>
      <w:r w:rsidRPr="008F65EB">
        <w:rPr>
          <w:i/>
          <w:sz w:val="24"/>
          <w:szCs w:val="24"/>
        </w:rPr>
        <w:t>В областта на трудовото право</w:t>
      </w:r>
      <w:r w:rsidRPr="008F13AA">
        <w:rPr>
          <w:sz w:val="24"/>
          <w:szCs w:val="24"/>
        </w:rPr>
        <w:t xml:space="preserve"> </w:t>
      </w:r>
    </w:p>
    <w:p w:rsidR="008F65EB" w:rsidRPr="008F65EB" w:rsidRDefault="008F65EB" w:rsidP="008F65EB">
      <w:pPr>
        <w:spacing w:before="0" w:after="0"/>
        <w:jc w:val="both"/>
        <w:rPr>
          <w:sz w:val="24"/>
          <w:szCs w:val="24"/>
        </w:rPr>
      </w:pPr>
      <w:r w:rsidRPr="008F65EB">
        <w:rPr>
          <w:sz w:val="24"/>
          <w:szCs w:val="24"/>
        </w:rPr>
        <w:t xml:space="preserve">Приет е Закон за изменение и допълнение на Кодекса на труда, с който се усъвършенства нормативната уредба, приложима към работата от разстояние и се регламентира отговорност за гарантиране на трудовите възнаграждения на работниците и служителите при веригите от подизпълнители. </w:t>
      </w:r>
    </w:p>
    <w:p w:rsidR="008F65EB" w:rsidRPr="008F65EB" w:rsidRDefault="008F65EB" w:rsidP="008F65EB">
      <w:pPr>
        <w:spacing w:before="0" w:after="0"/>
        <w:jc w:val="both"/>
        <w:rPr>
          <w:sz w:val="24"/>
          <w:szCs w:val="24"/>
        </w:rPr>
      </w:pPr>
      <w:r w:rsidRPr="008F65EB">
        <w:rPr>
          <w:sz w:val="24"/>
          <w:szCs w:val="24"/>
        </w:rPr>
        <w:t xml:space="preserve">С Постановление № 216 на Министерския съвет от 13.06.2024 г. са приети изменения и допълнения в Наредбата за работното време, почивките и отпуските (НРВПО), с които се осигурява правото на удължен платен годишен отпуск на служителите, които осъществяват дейности по предоставяне на социални услуги, и се регламентират ред за прехвърляне на отпуск поради бременност и раждане след навършване на 6-месечна възраст на детето на един от родителите на майката или на бащата и ред за прехвърляне на отпуск при осиновяване на дете на един от родителите на осиновителката или осиновителя. </w:t>
      </w:r>
    </w:p>
    <w:p w:rsidR="00EB3B7A" w:rsidRPr="008F13AA" w:rsidRDefault="008F65EB" w:rsidP="008F65EB">
      <w:pPr>
        <w:spacing w:before="0" w:after="0"/>
        <w:jc w:val="both"/>
        <w:rPr>
          <w:sz w:val="24"/>
          <w:szCs w:val="24"/>
        </w:rPr>
      </w:pPr>
      <w:r w:rsidRPr="008F65EB">
        <w:rPr>
          <w:sz w:val="24"/>
          <w:szCs w:val="24"/>
        </w:rPr>
        <w:t>С Постановление № 267 на Министерския съвет е приета Наредбата за вписване в регистъра на заетостта и промени в Наредбата за трудовата книжка и трудовия стаж. С промените се гарантира премахването на хартиените трудови книжки след 1 юни 2025 г. и се определят ясни правила за вписване в регистъра на заетостта на данни, свързани с трудовите отношения.</w:t>
      </w:r>
    </w:p>
    <w:p w:rsidR="008F65EB" w:rsidRDefault="00EB3B7A" w:rsidP="00EB3B7A">
      <w:pPr>
        <w:spacing w:before="0" w:after="0"/>
        <w:jc w:val="both"/>
        <w:rPr>
          <w:sz w:val="24"/>
          <w:szCs w:val="24"/>
        </w:rPr>
      </w:pPr>
      <w:r w:rsidRPr="008F65EB">
        <w:rPr>
          <w:i/>
          <w:sz w:val="24"/>
          <w:szCs w:val="24"/>
        </w:rPr>
        <w:t>В областта на социалното осигуряване</w:t>
      </w:r>
      <w:r w:rsidRPr="008F13AA">
        <w:t xml:space="preserve"> </w:t>
      </w:r>
    </w:p>
    <w:p w:rsidR="008F65EB" w:rsidRPr="008F65EB" w:rsidRDefault="008F65EB" w:rsidP="008F65EB">
      <w:pPr>
        <w:spacing w:before="0" w:after="0"/>
        <w:jc w:val="both"/>
        <w:rPr>
          <w:sz w:val="24"/>
          <w:szCs w:val="24"/>
        </w:rPr>
      </w:pPr>
      <w:r w:rsidRPr="008F65EB">
        <w:rPr>
          <w:sz w:val="24"/>
          <w:szCs w:val="24"/>
        </w:rPr>
        <w:t>Със Закона за ратифициране на Спогодбата за социална сигурност между Република България и Република Албания (</w:t>
      </w:r>
      <w:proofErr w:type="spellStart"/>
      <w:r w:rsidRPr="008F65EB">
        <w:rPr>
          <w:sz w:val="24"/>
          <w:szCs w:val="24"/>
        </w:rPr>
        <w:t>обн</w:t>
      </w:r>
      <w:proofErr w:type="spellEnd"/>
      <w:r w:rsidRPr="008F65EB">
        <w:rPr>
          <w:sz w:val="24"/>
          <w:szCs w:val="24"/>
        </w:rPr>
        <w:t xml:space="preserve">., ДВ, бр. 18 от 1 март 2024 г.) са изпълнени всички вътрешни изисквания за влизане в сила на международния договор. </w:t>
      </w:r>
    </w:p>
    <w:p w:rsidR="008F65EB" w:rsidRPr="008F65EB" w:rsidRDefault="008F65EB" w:rsidP="008F65EB">
      <w:pPr>
        <w:spacing w:before="0" w:after="0"/>
        <w:jc w:val="both"/>
        <w:rPr>
          <w:sz w:val="24"/>
          <w:szCs w:val="24"/>
        </w:rPr>
      </w:pPr>
      <w:r w:rsidRPr="008F65EB">
        <w:rPr>
          <w:sz w:val="24"/>
          <w:szCs w:val="24"/>
        </w:rPr>
        <w:t>За осигуряване на ефективността и бързината в административните производства, намаляване на административната тежест и отпадане на необходимостта от предоставяне на информация и доказване на факти и обстоятелства за лица или обекти, вписани в регистър, на които е предоставен идентификатор, са приети промени в:</w:t>
      </w:r>
    </w:p>
    <w:p w:rsidR="008F65EB" w:rsidRPr="008F65EB" w:rsidRDefault="008F65EB" w:rsidP="008F65EB">
      <w:pPr>
        <w:spacing w:before="0" w:after="0"/>
        <w:jc w:val="both"/>
        <w:rPr>
          <w:sz w:val="24"/>
          <w:szCs w:val="24"/>
        </w:rPr>
      </w:pPr>
      <w:r w:rsidRPr="008F65EB">
        <w:rPr>
          <w:sz w:val="24"/>
          <w:szCs w:val="24"/>
        </w:rPr>
        <w:t>- Наредбата за отпускане и изплащане на паричните обезщетения за безработица (ПМС № 159 от 2 май 2024 г.);</w:t>
      </w:r>
    </w:p>
    <w:p w:rsidR="008F65EB" w:rsidRPr="008F65EB" w:rsidRDefault="008F65EB" w:rsidP="008F65EB">
      <w:pPr>
        <w:spacing w:before="0" w:after="0"/>
        <w:jc w:val="both"/>
        <w:rPr>
          <w:sz w:val="24"/>
          <w:szCs w:val="24"/>
        </w:rPr>
      </w:pPr>
      <w:r w:rsidRPr="008F65EB">
        <w:rPr>
          <w:sz w:val="24"/>
          <w:szCs w:val="24"/>
        </w:rPr>
        <w:t>- Наредбата за паричните обезщетения и помощи от държавното обществено осигуряване (ПМС № 92 от 4 април 2024 г.);</w:t>
      </w:r>
    </w:p>
    <w:p w:rsidR="008F65EB" w:rsidRPr="008F65EB" w:rsidRDefault="008F65EB" w:rsidP="008F65EB">
      <w:pPr>
        <w:spacing w:before="0" w:after="0"/>
        <w:jc w:val="both"/>
        <w:rPr>
          <w:sz w:val="24"/>
          <w:szCs w:val="24"/>
        </w:rPr>
      </w:pPr>
      <w:r w:rsidRPr="008F65EB">
        <w:rPr>
          <w:sz w:val="24"/>
          <w:szCs w:val="24"/>
        </w:rPr>
        <w:t>- Наредбата за реда и начина за информиране на работниците и служителите и за отпускане и изплащане на гарантираните вземания при несъстоятелност на работодателя (ПМС № 88 от 3 април 2024 г.);</w:t>
      </w:r>
    </w:p>
    <w:p w:rsidR="008F65EB" w:rsidRPr="008F65EB" w:rsidRDefault="008F65EB" w:rsidP="008F65EB">
      <w:pPr>
        <w:spacing w:before="0" w:after="0"/>
        <w:jc w:val="both"/>
        <w:rPr>
          <w:sz w:val="24"/>
          <w:szCs w:val="24"/>
        </w:rPr>
      </w:pPr>
      <w:r w:rsidRPr="008F65EB">
        <w:rPr>
          <w:sz w:val="24"/>
          <w:szCs w:val="24"/>
        </w:rPr>
        <w:t>- Наредбата за пенсиите и осигурителния стаж (ПМС № 89 от 3 април 2024 г.).</w:t>
      </w:r>
    </w:p>
    <w:p w:rsidR="008F65EB" w:rsidRPr="008F65EB" w:rsidRDefault="008F65EB" w:rsidP="008F65EB">
      <w:pPr>
        <w:spacing w:before="0" w:after="0"/>
        <w:jc w:val="both"/>
        <w:rPr>
          <w:sz w:val="24"/>
          <w:szCs w:val="24"/>
        </w:rPr>
      </w:pPr>
      <w:r w:rsidRPr="008F65EB">
        <w:rPr>
          <w:sz w:val="24"/>
          <w:szCs w:val="24"/>
        </w:rPr>
        <w:t xml:space="preserve">С оглед гарантиране правата на новата категория осигурени лица, които извършват дейност по събиране на диворастящи гъби и плодове, с Постановление № 90  на Министерски съвет от 3 април 2024 г. е изменена Наредбата за обществено осигуряване на </w:t>
      </w:r>
      <w:proofErr w:type="spellStart"/>
      <w:r w:rsidRPr="008F65EB">
        <w:rPr>
          <w:sz w:val="24"/>
          <w:szCs w:val="24"/>
        </w:rPr>
        <w:t>самоосигуряващите</w:t>
      </w:r>
      <w:proofErr w:type="spellEnd"/>
      <w:r w:rsidRPr="008F65EB">
        <w:rPr>
          <w:sz w:val="24"/>
          <w:szCs w:val="24"/>
        </w:rPr>
        <w:t xml:space="preserve"> се лица, българските граждани на работа в чужбина и морските лица.</w:t>
      </w:r>
    </w:p>
    <w:p w:rsidR="008F65EB" w:rsidRPr="008F65EB" w:rsidRDefault="008F65EB" w:rsidP="008F65EB">
      <w:pPr>
        <w:spacing w:before="0" w:after="0"/>
        <w:jc w:val="both"/>
        <w:rPr>
          <w:sz w:val="24"/>
          <w:szCs w:val="24"/>
        </w:rPr>
      </w:pPr>
      <w:r w:rsidRPr="008F65EB">
        <w:rPr>
          <w:sz w:val="24"/>
          <w:szCs w:val="24"/>
        </w:rPr>
        <w:t xml:space="preserve">Приети са изменения в Наредбата за елементите на възнаграждението и за доходите, върху които се правят осигурителни вноски с оглед привеждането й в </w:t>
      </w:r>
      <w:r w:rsidRPr="008F65EB">
        <w:rPr>
          <w:sz w:val="24"/>
          <w:szCs w:val="24"/>
        </w:rPr>
        <w:lastRenderedPageBreak/>
        <w:t>съответствие с промени в Закона за корпоративното подоходно облагане, Закона за Министерството на вътрешните работи, Закона за Държавна агенция „Разузнаване“ и Кодекса за социално осигуряване (ПМС № 9 от 25 януари 2024 г.).</w:t>
      </w:r>
    </w:p>
    <w:p w:rsidR="008F65EB" w:rsidRPr="008F65EB" w:rsidRDefault="008F65EB" w:rsidP="008F65EB">
      <w:pPr>
        <w:spacing w:before="0" w:after="0"/>
        <w:jc w:val="both"/>
        <w:rPr>
          <w:sz w:val="24"/>
          <w:szCs w:val="24"/>
        </w:rPr>
      </w:pPr>
      <w:r w:rsidRPr="008F65EB">
        <w:rPr>
          <w:sz w:val="24"/>
          <w:szCs w:val="24"/>
        </w:rPr>
        <w:t>С Постановление № 222 на Министерския съвет от 19 юни 2024 г. е определен нов размер на социалната пенсия за старост - 307,07 лв.</w:t>
      </w:r>
    </w:p>
    <w:p w:rsidR="008F65EB" w:rsidRPr="008F65EB" w:rsidRDefault="008F65EB" w:rsidP="008F65EB">
      <w:pPr>
        <w:spacing w:before="0" w:after="0"/>
        <w:jc w:val="both"/>
        <w:rPr>
          <w:sz w:val="24"/>
          <w:szCs w:val="24"/>
        </w:rPr>
      </w:pPr>
      <w:r w:rsidRPr="008F65EB">
        <w:rPr>
          <w:sz w:val="24"/>
          <w:szCs w:val="24"/>
        </w:rPr>
        <w:t>С Постановления на Министерския съвет № 48 от 13 март 2024 г. и № 179 от 23 май 2024 г. № 294 от 15 август 2024 г. и № 459 от 18 декември 2024 г. са одобрени допълнителни трансфери по бюджета на държавното обществено осигуряване за 2024 г. за разплащане на извършените разходи по предоставените дейности и услуги на правоимащите лица по чл. 16 от Закона за военноинвалидите и военнопострадалите.</w:t>
      </w:r>
    </w:p>
    <w:p w:rsidR="008F65EB" w:rsidRPr="008F65EB" w:rsidRDefault="008F65EB" w:rsidP="008F65EB">
      <w:pPr>
        <w:spacing w:before="0" w:after="0"/>
        <w:jc w:val="both"/>
        <w:rPr>
          <w:sz w:val="24"/>
          <w:szCs w:val="24"/>
        </w:rPr>
      </w:pPr>
      <w:r w:rsidRPr="008F65EB">
        <w:rPr>
          <w:sz w:val="24"/>
          <w:szCs w:val="24"/>
        </w:rPr>
        <w:t>С Постановление № 435 на Министерския съвет от 11 декември 2024 г. е одобрен допълнителен трансфер по бюджета на държавното обществено осигуряване за изплащане на коледни добавки от 100 лв. към пенсиите на пенсионери, на които пенсията или сборът от пенсиите заедно с добавките и компенсациите към тях за декември 2024 г. е в размер до 526,00 лв. включително.</w:t>
      </w:r>
    </w:p>
    <w:p w:rsidR="008F65EB" w:rsidRPr="008F65EB" w:rsidRDefault="008F65EB" w:rsidP="008F65EB">
      <w:pPr>
        <w:spacing w:before="0" w:after="0"/>
        <w:jc w:val="both"/>
        <w:rPr>
          <w:sz w:val="24"/>
          <w:szCs w:val="24"/>
        </w:rPr>
      </w:pPr>
      <w:r w:rsidRPr="008F65EB">
        <w:rPr>
          <w:sz w:val="24"/>
          <w:szCs w:val="24"/>
        </w:rPr>
        <w:t>С Решение № 514 от 19 юли 2024 г. на Министерския съвет е одобрен проектът на Протокол за изменение на Споразумението между Националния осигурителен институт на Република България и Министерството на труда и социалната политика на Украйна за прилагане на Договора между Република България и Украйна за социално осигуряване от 4 септември 2001 г.</w:t>
      </w:r>
    </w:p>
    <w:p w:rsidR="008F65EB" w:rsidRPr="008F65EB" w:rsidRDefault="008F65EB" w:rsidP="008F65EB">
      <w:pPr>
        <w:spacing w:before="0" w:after="0"/>
        <w:jc w:val="both"/>
        <w:rPr>
          <w:sz w:val="24"/>
          <w:szCs w:val="24"/>
        </w:rPr>
      </w:pPr>
      <w:r w:rsidRPr="008F65EB">
        <w:rPr>
          <w:sz w:val="24"/>
          <w:szCs w:val="24"/>
        </w:rPr>
        <w:t>С Решение № 304 на Министерския съвет от 29 април 2024 г. са утвърдени промени в състава на Надзорния съвет на Националния осигурителен институт;</w:t>
      </w:r>
    </w:p>
    <w:p w:rsidR="00EB3B7A" w:rsidRPr="008F13AA" w:rsidRDefault="008F65EB" w:rsidP="008F65EB">
      <w:pPr>
        <w:spacing w:before="0" w:after="0"/>
        <w:jc w:val="both"/>
        <w:rPr>
          <w:sz w:val="24"/>
          <w:szCs w:val="24"/>
        </w:rPr>
      </w:pPr>
      <w:r w:rsidRPr="008F65EB">
        <w:rPr>
          <w:sz w:val="24"/>
          <w:szCs w:val="24"/>
        </w:rPr>
        <w:t>С Решение № 774 от 14 ноември 2024 г. на Министерския съвет е отпусната персонална пенсия по Кодекса за социално осигуряване на една жена, родила и отгледала шест деца, която няма право на друг вид пенсия</w:t>
      </w:r>
      <w:r w:rsidR="00EB3B7A" w:rsidRPr="00F414DF">
        <w:rPr>
          <w:sz w:val="24"/>
          <w:szCs w:val="24"/>
        </w:rPr>
        <w:t>.</w:t>
      </w:r>
    </w:p>
    <w:p w:rsidR="008F65EB" w:rsidRPr="008F65EB" w:rsidRDefault="008F65EB" w:rsidP="00EB3B7A">
      <w:pPr>
        <w:spacing w:before="0" w:after="0"/>
        <w:jc w:val="both"/>
        <w:rPr>
          <w:i/>
          <w:sz w:val="24"/>
          <w:szCs w:val="24"/>
        </w:rPr>
      </w:pPr>
      <w:r w:rsidRPr="008F65EB">
        <w:rPr>
          <w:i/>
          <w:sz w:val="24"/>
          <w:szCs w:val="24"/>
        </w:rPr>
        <w:t>В областта на условията на труд</w:t>
      </w:r>
    </w:p>
    <w:p w:rsidR="008F65EB" w:rsidRPr="008F65EB" w:rsidRDefault="008F65EB" w:rsidP="008F65EB">
      <w:pPr>
        <w:spacing w:before="0" w:after="0"/>
        <w:jc w:val="both"/>
        <w:rPr>
          <w:sz w:val="24"/>
          <w:szCs w:val="24"/>
        </w:rPr>
      </w:pPr>
      <w:r w:rsidRPr="008F65EB">
        <w:rPr>
          <w:sz w:val="24"/>
          <w:szCs w:val="24"/>
        </w:rPr>
        <w:t>Със закони са ратифицирани Конвенция № 155 на Международната организация на труда относно безопасността и здравето при работа, (</w:t>
      </w:r>
      <w:proofErr w:type="spellStart"/>
      <w:r w:rsidRPr="008F65EB">
        <w:rPr>
          <w:sz w:val="24"/>
          <w:szCs w:val="24"/>
        </w:rPr>
        <w:t>обн</w:t>
      </w:r>
      <w:proofErr w:type="spellEnd"/>
      <w:r w:rsidRPr="008F65EB">
        <w:rPr>
          <w:sz w:val="24"/>
          <w:szCs w:val="24"/>
        </w:rPr>
        <w:t>., ДВ, бр. 17 от 27 февруари 2024 г.) и Конвенция № 187 на Международната организация на труда относно Рамката за насърчаване на безопасността и здравето при работа, (</w:t>
      </w:r>
      <w:proofErr w:type="spellStart"/>
      <w:r w:rsidRPr="008F65EB">
        <w:rPr>
          <w:sz w:val="24"/>
          <w:szCs w:val="24"/>
        </w:rPr>
        <w:t>обн</w:t>
      </w:r>
      <w:proofErr w:type="spellEnd"/>
      <w:r w:rsidRPr="008F65EB">
        <w:rPr>
          <w:sz w:val="24"/>
          <w:szCs w:val="24"/>
        </w:rPr>
        <w:t>., ДВ, бр. 17 от 27 февруари 2024 г.).</w:t>
      </w:r>
    </w:p>
    <w:p w:rsidR="008F65EB" w:rsidRPr="008F65EB" w:rsidRDefault="008F65EB" w:rsidP="008F65EB">
      <w:pPr>
        <w:spacing w:before="0" w:after="0"/>
        <w:jc w:val="both"/>
        <w:rPr>
          <w:sz w:val="24"/>
          <w:szCs w:val="24"/>
        </w:rPr>
      </w:pPr>
      <w:r w:rsidRPr="008F65EB">
        <w:rPr>
          <w:sz w:val="24"/>
          <w:szCs w:val="24"/>
        </w:rPr>
        <w:t>С Наредбата за изменение и допълнение на Наредба № 10 от 2003 г. за защита на работещите от рискове, свързани с експозиция на канцерогени и мутагени при работа (</w:t>
      </w:r>
      <w:proofErr w:type="spellStart"/>
      <w:r w:rsidRPr="008F65EB">
        <w:rPr>
          <w:sz w:val="24"/>
          <w:szCs w:val="24"/>
        </w:rPr>
        <w:t>oбн</w:t>
      </w:r>
      <w:proofErr w:type="spellEnd"/>
      <w:r w:rsidRPr="008F65EB">
        <w:rPr>
          <w:sz w:val="24"/>
          <w:szCs w:val="24"/>
        </w:rPr>
        <w:t xml:space="preserve">., ДВ, бр. 28 от 2.04.2024 г., в сила от 5.04.2024 г.) е транспонирана изцяло Директива (ЕС) 2022/431 на Европейския парламент и на Съвета от 9 март 2022 година за изменение на Директива 2004/37/ЕО относно защитата на работниците от рискове, свързани с експозицията на канцерогени или мутагени по време на работа. </w:t>
      </w:r>
    </w:p>
    <w:p w:rsidR="008F65EB" w:rsidRPr="008F65EB" w:rsidRDefault="008F65EB" w:rsidP="008F65EB">
      <w:pPr>
        <w:spacing w:before="0" w:after="0"/>
        <w:jc w:val="both"/>
        <w:rPr>
          <w:sz w:val="24"/>
          <w:szCs w:val="24"/>
        </w:rPr>
      </w:pPr>
      <w:r w:rsidRPr="008F65EB">
        <w:rPr>
          <w:sz w:val="24"/>
          <w:szCs w:val="24"/>
        </w:rPr>
        <w:t>С Наредбата за изменение и допълнение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8F65EB">
        <w:rPr>
          <w:sz w:val="24"/>
          <w:szCs w:val="24"/>
        </w:rPr>
        <w:t>oбн</w:t>
      </w:r>
      <w:proofErr w:type="spellEnd"/>
      <w:r w:rsidRPr="008F65EB">
        <w:rPr>
          <w:sz w:val="24"/>
          <w:szCs w:val="24"/>
        </w:rPr>
        <w:t xml:space="preserve">., ДВ, бр. 54 от 25.06.2024 г., в сила от 27.09.2024) се уреждат нормативно изискванията за провеждането и документирането на инструктаж по безопасност и здраве чрез използването на информационни и телекомуникационни технологии. </w:t>
      </w:r>
    </w:p>
    <w:p w:rsidR="008F65EB" w:rsidRPr="008F65EB" w:rsidRDefault="008F65EB" w:rsidP="008F65EB">
      <w:pPr>
        <w:spacing w:before="0" w:after="0"/>
        <w:jc w:val="both"/>
        <w:rPr>
          <w:sz w:val="24"/>
          <w:szCs w:val="24"/>
        </w:rPr>
      </w:pPr>
      <w:r w:rsidRPr="008F65EB">
        <w:rPr>
          <w:sz w:val="24"/>
          <w:szCs w:val="24"/>
        </w:rPr>
        <w:t xml:space="preserve">По програмата се осъществява и цялостен контрол по спазване на трудовото законодателство. </w:t>
      </w:r>
    </w:p>
    <w:p w:rsidR="008F65EB" w:rsidRPr="008F65EB" w:rsidRDefault="008F65EB" w:rsidP="008F65EB">
      <w:pPr>
        <w:spacing w:before="0" w:after="0"/>
        <w:jc w:val="both"/>
        <w:rPr>
          <w:sz w:val="24"/>
          <w:szCs w:val="24"/>
        </w:rPr>
      </w:pPr>
      <w:r w:rsidRPr="008F65EB">
        <w:rPr>
          <w:sz w:val="24"/>
          <w:szCs w:val="24"/>
        </w:rPr>
        <w:t>През 2024 г. са извършени общо 49 858 проверки от ИА ГИТ. Проверени са 41 863 предприятия от всички икономически дейности с общо 1 755 669 зает персонал в тях. По време на проверките са констатирани общо 202 810 нарушения на нормите на трудовото законодателство и на законодателството за насърчаване на заетостта, 1593 нарушения са за неизпълнени предписания или само 0,8% от всички констатирани нарушения.</w:t>
      </w:r>
    </w:p>
    <w:p w:rsidR="008F65EB" w:rsidRPr="008F65EB" w:rsidRDefault="008F65EB" w:rsidP="008F65EB">
      <w:pPr>
        <w:spacing w:before="0" w:after="0"/>
        <w:jc w:val="both"/>
        <w:rPr>
          <w:sz w:val="24"/>
          <w:szCs w:val="24"/>
        </w:rPr>
      </w:pPr>
      <w:r w:rsidRPr="008F65EB">
        <w:rPr>
          <w:sz w:val="24"/>
          <w:szCs w:val="24"/>
        </w:rPr>
        <w:lastRenderedPageBreak/>
        <w:t>За отстраняване на констатираните нарушения са приложени общо 195 042 принудителни административни мерки. За периода от 01.01.2024 г. до 31.12.2024 г. са изплатени над 8,7 млн. лв. забавени дължими трудови възнаграждения в резултат на извършените проверки от контролните органи на ИА ГИТ.</w:t>
      </w:r>
    </w:p>
    <w:p w:rsidR="008F65EB" w:rsidRPr="008F65EB" w:rsidRDefault="008F65EB" w:rsidP="008F65EB">
      <w:pPr>
        <w:spacing w:before="0" w:after="0"/>
        <w:jc w:val="both"/>
        <w:rPr>
          <w:sz w:val="24"/>
          <w:szCs w:val="24"/>
        </w:rPr>
      </w:pPr>
      <w:r w:rsidRPr="008F65EB">
        <w:rPr>
          <w:sz w:val="24"/>
          <w:szCs w:val="24"/>
        </w:rPr>
        <w:t xml:space="preserve">По бюджетната програма "Осигуряване подходящи условия на труд" се реализират и дейности с финансовата подкрепа на Фонд „Условия на труд” (ФУТ). </w:t>
      </w:r>
    </w:p>
    <w:p w:rsidR="008F65EB" w:rsidRPr="008F65EB" w:rsidRDefault="008F65EB" w:rsidP="008F65EB">
      <w:pPr>
        <w:spacing w:before="0" w:after="0"/>
        <w:jc w:val="both"/>
        <w:rPr>
          <w:sz w:val="24"/>
          <w:szCs w:val="24"/>
        </w:rPr>
      </w:pPr>
      <w:r w:rsidRPr="008F65EB">
        <w:rPr>
          <w:sz w:val="24"/>
          <w:szCs w:val="24"/>
        </w:rPr>
        <w:t>За периода 01.01.2024 г. – 31.12.2024 г. са реализирани 48 договора, сключени през 2023 г. и 2024 година, като от тях: 33 бр. за финансиране на проекти на отделните предприятия; 8 бр. за обучение по 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 и на държавни институции; 3 бр. за дейности, свързани с диагностиката на професионалните болести; 1 бр. за дейности, свързани със закупуване на информационни материали по безопасност и здраве при работа; 1 бр. семинар в областта на безопасността и здравето при работа; 2 бр. за техническо и абонаментно поддържане..</w:t>
      </w:r>
    </w:p>
    <w:p w:rsidR="008F65EB" w:rsidRPr="008F65EB" w:rsidRDefault="008F65EB" w:rsidP="008F65EB">
      <w:pPr>
        <w:spacing w:before="0" w:after="0"/>
        <w:jc w:val="both"/>
        <w:rPr>
          <w:sz w:val="24"/>
          <w:szCs w:val="24"/>
        </w:rPr>
      </w:pPr>
      <w:r w:rsidRPr="008F65EB">
        <w:rPr>
          <w:sz w:val="24"/>
          <w:szCs w:val="24"/>
        </w:rPr>
        <w:t>Изплатени са средства на обща стойност 1 649 887,40 лв., по договори с 33 предприятия, сключени с ФУТ през настоящата и предходната година, чрез които са подобрени условията на труд на 2015 работници и служители. Сключени са договори със социалните партньори и институции, свързани с обучението на работещите по безопасност и здраве. Обучителните мероприятия, общо 205, са проведени в различни населени места на територията на страната. Със средства на Фонд „Условия на труд“ през годината са обучени 5 835 работещи в областта на безопасността и здравето при работа.</w:t>
      </w:r>
    </w:p>
    <w:p w:rsidR="008F65EB" w:rsidRPr="008F65EB" w:rsidRDefault="008F65EB" w:rsidP="008F65EB">
      <w:pPr>
        <w:spacing w:before="0" w:after="0"/>
        <w:jc w:val="both"/>
        <w:rPr>
          <w:sz w:val="24"/>
          <w:szCs w:val="24"/>
        </w:rPr>
      </w:pPr>
      <w:r w:rsidRPr="008F65EB">
        <w:rPr>
          <w:sz w:val="24"/>
          <w:szCs w:val="24"/>
        </w:rPr>
        <w:t xml:space="preserve">Сключени са и договори за диагностика на професионалните болести с три болнични заведения в страната. За периода, в болничните отделения на УМБАЛ “Св. Иван Рилски” ЕАД – гр. София, на УМБАЛ “Св. Георги” ЕАД – гр. Пловдив и на УМБАЛ „д-р Георги </w:t>
      </w:r>
      <w:proofErr w:type="spellStart"/>
      <w:r w:rsidRPr="008F65EB">
        <w:rPr>
          <w:sz w:val="24"/>
          <w:szCs w:val="24"/>
        </w:rPr>
        <w:t>Странски</w:t>
      </w:r>
      <w:proofErr w:type="spellEnd"/>
      <w:r w:rsidRPr="008F65EB">
        <w:rPr>
          <w:sz w:val="24"/>
          <w:szCs w:val="24"/>
        </w:rPr>
        <w:t>“ ЕАД, гр. Плевен по професионални заболявания са извършени медицински прегледи и диагностика на хоспитализирани общо 804 пациенти. Извършени са и групови медицински прегледи за ранно откриване на професионалните болести на 3 640 работещи в специфични условия на труд от 21 предприятия в страната.</w:t>
      </w:r>
    </w:p>
    <w:p w:rsidR="008F65EB" w:rsidRPr="008F65EB" w:rsidRDefault="008F65EB" w:rsidP="008F65EB">
      <w:pPr>
        <w:spacing w:before="0" w:after="0"/>
        <w:jc w:val="both"/>
        <w:rPr>
          <w:sz w:val="24"/>
          <w:szCs w:val="24"/>
        </w:rPr>
      </w:pPr>
      <w:r w:rsidRPr="008F65EB">
        <w:rPr>
          <w:sz w:val="24"/>
          <w:szCs w:val="24"/>
        </w:rPr>
        <w:t xml:space="preserve">По програмата се реализира и дейността на Националния институт за помирение и арбитраж (НИПА). </w:t>
      </w:r>
    </w:p>
    <w:p w:rsidR="008F65EB" w:rsidRPr="008F65EB" w:rsidRDefault="008F65EB" w:rsidP="008F65EB">
      <w:pPr>
        <w:spacing w:before="0" w:after="0"/>
        <w:jc w:val="both"/>
        <w:rPr>
          <w:sz w:val="24"/>
          <w:szCs w:val="24"/>
        </w:rPr>
      </w:pPr>
      <w:r w:rsidRPr="008F65EB">
        <w:rPr>
          <w:sz w:val="24"/>
          <w:szCs w:val="24"/>
        </w:rPr>
        <w:t>През периода са разработени: Основна информация за действащите колективни трудови договори (КТД) и споразумения за държавния служител (</w:t>
      </w:r>
      <w:proofErr w:type="spellStart"/>
      <w:r w:rsidRPr="008F65EB">
        <w:rPr>
          <w:sz w:val="24"/>
          <w:szCs w:val="24"/>
        </w:rPr>
        <w:t>СДСл</w:t>
      </w:r>
      <w:proofErr w:type="spellEnd"/>
      <w:r w:rsidRPr="008F65EB">
        <w:rPr>
          <w:sz w:val="24"/>
          <w:szCs w:val="24"/>
        </w:rPr>
        <w:t xml:space="preserve">) към 31.12.2023, както и данни за обхвата на КТД и </w:t>
      </w:r>
      <w:proofErr w:type="spellStart"/>
      <w:r w:rsidRPr="008F65EB">
        <w:rPr>
          <w:sz w:val="24"/>
          <w:szCs w:val="24"/>
        </w:rPr>
        <w:t>СДСл</w:t>
      </w:r>
      <w:proofErr w:type="spellEnd"/>
      <w:r w:rsidRPr="008F65EB">
        <w:rPr>
          <w:sz w:val="24"/>
          <w:szCs w:val="24"/>
        </w:rPr>
        <w:t xml:space="preserve"> за периода 2023-2011 г; информация за договорената минимална работна заплата (МРЗ) с колективните трудови договори на равнище "предприятие", към 31.03.2024 г. и в периода 2023-2017 г.; информация за постигнатите договорености между страните по КТД и </w:t>
      </w:r>
      <w:proofErr w:type="spellStart"/>
      <w:r w:rsidRPr="008F65EB">
        <w:rPr>
          <w:sz w:val="24"/>
          <w:szCs w:val="24"/>
        </w:rPr>
        <w:t>СДСл</w:t>
      </w:r>
      <w:proofErr w:type="spellEnd"/>
      <w:r w:rsidRPr="008F65EB">
        <w:rPr>
          <w:sz w:val="24"/>
          <w:szCs w:val="24"/>
        </w:rPr>
        <w:t xml:space="preserve"> относно трудовите възнаграждения към 31.12.2023 г.</w:t>
      </w:r>
    </w:p>
    <w:p w:rsidR="00EB3B7A" w:rsidRPr="00F414DF" w:rsidRDefault="008F65EB" w:rsidP="008F65EB">
      <w:pPr>
        <w:spacing w:before="0" w:after="0"/>
        <w:jc w:val="both"/>
        <w:rPr>
          <w:sz w:val="24"/>
          <w:szCs w:val="24"/>
        </w:rPr>
      </w:pPr>
      <w:r w:rsidRPr="008F65EB">
        <w:rPr>
          <w:sz w:val="24"/>
          <w:szCs w:val="24"/>
        </w:rPr>
        <w:t>От 01 януари до 30-ти юни 2024 г. в информационната система е въведена информация за 1244 КТД и анекси към тях. Информацията е публикувана на интернет страницата на НИПА.</w:t>
      </w:r>
    </w:p>
    <w:p w:rsidR="00EB3B7A" w:rsidRPr="00F414DF" w:rsidRDefault="00EB3B7A" w:rsidP="00EB3B7A">
      <w:pPr>
        <w:spacing w:before="240"/>
        <w:ind w:firstLine="0"/>
        <w:jc w:val="center"/>
        <w:rPr>
          <w:rFonts w:eastAsiaTheme="minorHAnsi"/>
          <w:b/>
          <w:sz w:val="24"/>
          <w:szCs w:val="24"/>
          <w:lang w:eastAsia="en-US"/>
        </w:rPr>
      </w:pPr>
      <w:r w:rsidRPr="00F414DF">
        <w:rPr>
          <w:rFonts w:eastAsiaTheme="minorHAnsi"/>
          <w:b/>
          <w:sz w:val="24"/>
          <w:szCs w:val="24"/>
          <w:lang w:eastAsia="en-US"/>
        </w:rPr>
        <w:t>Политика в областта на социалното подпомагане и равнопоставеността на жените и мъжете</w:t>
      </w:r>
    </w:p>
    <w:p w:rsidR="00EB3B7A" w:rsidRDefault="00375171" w:rsidP="00EB3B7A">
      <w:pPr>
        <w:spacing w:before="0" w:after="0"/>
        <w:contextualSpacing/>
        <w:jc w:val="both"/>
        <w:rPr>
          <w:sz w:val="24"/>
          <w:szCs w:val="24"/>
        </w:rPr>
      </w:pPr>
      <w:r w:rsidRPr="00375171">
        <w:rPr>
          <w:sz w:val="24"/>
          <w:szCs w:val="24"/>
        </w:rPr>
        <w:t xml:space="preserve">В областта на социалното подпомагане за периода януари – декември 2024 г. с месечни помощи по реда на чл. 9 от ППЗСП в страната са подпомогнати средномесечно 29 846 случая на лица и семейства. </w:t>
      </w:r>
      <w:r w:rsidR="004940DD">
        <w:rPr>
          <w:sz w:val="24"/>
          <w:szCs w:val="24"/>
        </w:rPr>
        <w:t>Изплатената сума e 99 798 989 л</w:t>
      </w:r>
      <w:r w:rsidRPr="00375171">
        <w:rPr>
          <w:sz w:val="24"/>
          <w:szCs w:val="24"/>
        </w:rPr>
        <w:t xml:space="preserve">в. Направените нормативни промени в периода 15.12.2022 – 02.06.2023 г. засегнаха всички актове, свързани със социалното подпомагане - ЗСП, ППЗСП и Наредба №07-5/2008 г. за </w:t>
      </w:r>
      <w:r w:rsidRPr="00375171">
        <w:rPr>
          <w:sz w:val="24"/>
          <w:szCs w:val="24"/>
        </w:rPr>
        <w:lastRenderedPageBreak/>
        <w:t>условията и реда за отпускане на целева помощ за отопление (Наредбата). Така се изпълниха ангажиментите по ПВУ във връзка с реформата на схемата за минимален доход. Помощите се обвързаха с линията на бедност, с което се увеличава техният размер, осигурява се регулярната им актуализация и се разширява обхватът на правоимащите.</w:t>
      </w:r>
    </w:p>
    <w:p w:rsidR="00375171" w:rsidRPr="00F414DF" w:rsidRDefault="00375171" w:rsidP="00EB3B7A">
      <w:pPr>
        <w:spacing w:before="0" w:after="0"/>
        <w:contextualSpacing/>
        <w:jc w:val="both"/>
        <w:rPr>
          <w:sz w:val="24"/>
          <w:szCs w:val="24"/>
        </w:rPr>
      </w:pPr>
      <w:r w:rsidRPr="00375171">
        <w:rPr>
          <w:sz w:val="24"/>
          <w:szCs w:val="24"/>
        </w:rPr>
        <w:t>Общият брой на отпуснатите еднократни помощи по чл. 16 в страната е 7 182 бр., за които са изплатени 7 627 257 лв</w:t>
      </w:r>
      <w:r w:rsidR="004940DD">
        <w:rPr>
          <w:sz w:val="24"/>
          <w:szCs w:val="24"/>
        </w:rPr>
        <w:t>.</w:t>
      </w:r>
      <w:r w:rsidRPr="00375171">
        <w:rPr>
          <w:sz w:val="24"/>
          <w:szCs w:val="24"/>
        </w:rPr>
        <w:t>, в т.ч. за украински граждани 286 брой заповеди и изплатени средства в размер на 141 314 лв.</w:t>
      </w:r>
    </w:p>
    <w:p w:rsidR="00375171" w:rsidRDefault="00375171" w:rsidP="00EB3B7A">
      <w:pPr>
        <w:spacing w:before="0" w:after="0"/>
        <w:contextualSpacing/>
        <w:jc w:val="both"/>
        <w:rPr>
          <w:sz w:val="24"/>
          <w:szCs w:val="24"/>
        </w:rPr>
      </w:pPr>
      <w:r w:rsidRPr="00375171">
        <w:rPr>
          <w:sz w:val="24"/>
          <w:szCs w:val="24"/>
        </w:rPr>
        <w:t>С решение на Министерски съвет № 144 от 10.03.2022 г. за предоставяне на временна закрила на разселени лица от Украйна в съответствие с Решение за изпълнение на Съвета на Европейския съюз (ЕС) 2022/382 от 04.03.2022 г. за срок от една година, считано от 24.02.2022 г. е изменен Национа</w:t>
      </w:r>
      <w:bookmarkStart w:id="1" w:name="_GoBack"/>
      <w:bookmarkEnd w:id="1"/>
      <w:r w:rsidRPr="00375171">
        <w:rPr>
          <w:sz w:val="24"/>
          <w:szCs w:val="24"/>
        </w:rPr>
        <w:t>лния план за действие при временна закрила в Р България. В съответствие с регламента на чл. 2 от ЗСП българските граждани, чужденците с разрешение за дългосрочно или постоянно пребиваване в Република България, чужденците, на които е предоставено убежище, статут на бежанец или хуманитарен статут, и чужденците, ползващи се от временна закрила, са длъжни да полагат грижи за задоволяване на своите жизнени потребности.</w:t>
      </w:r>
    </w:p>
    <w:p w:rsidR="00375171" w:rsidRPr="00375171" w:rsidRDefault="00375171" w:rsidP="00375171">
      <w:pPr>
        <w:spacing w:before="0" w:after="0"/>
        <w:contextualSpacing/>
        <w:jc w:val="both"/>
        <w:rPr>
          <w:sz w:val="24"/>
          <w:szCs w:val="24"/>
        </w:rPr>
      </w:pPr>
      <w:r w:rsidRPr="00375171">
        <w:rPr>
          <w:sz w:val="24"/>
          <w:szCs w:val="24"/>
        </w:rPr>
        <w:t>За новия отоплителен сезон 2024/2025 към 31.12.2024 г. са начислени общо помощи по 338 923 издадени заповеди за отпускане на помощта, а изплатената сума е в размер на 187 123 639 лв., в т.ч. възстановени суми в размер на 55 210 лв. от предходния отоплителен сезон.</w:t>
      </w:r>
    </w:p>
    <w:p w:rsidR="00375171" w:rsidRDefault="00375171" w:rsidP="00375171">
      <w:pPr>
        <w:spacing w:before="0" w:after="0"/>
        <w:contextualSpacing/>
        <w:jc w:val="both"/>
        <w:rPr>
          <w:sz w:val="24"/>
          <w:szCs w:val="24"/>
        </w:rPr>
      </w:pPr>
      <w:r w:rsidRPr="00375171">
        <w:rPr>
          <w:sz w:val="24"/>
          <w:szCs w:val="24"/>
        </w:rPr>
        <w:t xml:space="preserve">По целева програма „Подобряване материалната база и </w:t>
      </w:r>
      <w:proofErr w:type="spellStart"/>
      <w:r w:rsidRPr="00375171">
        <w:rPr>
          <w:sz w:val="24"/>
          <w:szCs w:val="24"/>
        </w:rPr>
        <w:t>автопарка</w:t>
      </w:r>
      <w:proofErr w:type="spellEnd"/>
      <w:r w:rsidRPr="00375171">
        <w:rPr>
          <w:sz w:val="24"/>
          <w:szCs w:val="24"/>
        </w:rPr>
        <w:t xml:space="preserve"> за </w:t>
      </w:r>
      <w:proofErr w:type="spellStart"/>
      <w:r w:rsidRPr="00375171">
        <w:rPr>
          <w:sz w:val="24"/>
          <w:szCs w:val="24"/>
        </w:rPr>
        <w:t>разнос</w:t>
      </w:r>
      <w:proofErr w:type="spellEnd"/>
      <w:r w:rsidRPr="00375171">
        <w:rPr>
          <w:sz w:val="24"/>
          <w:szCs w:val="24"/>
        </w:rPr>
        <w:t xml:space="preserve"> на храна на Домашен социален патронаж“ – сключени са договори с 56 общини, общият брой на бенефициентите по към 31.12.2024г. е 21 807 потребители.</w:t>
      </w:r>
    </w:p>
    <w:p w:rsidR="00375171" w:rsidRDefault="00375171" w:rsidP="00EB3B7A">
      <w:pPr>
        <w:spacing w:before="0" w:after="0"/>
        <w:jc w:val="both"/>
        <w:rPr>
          <w:sz w:val="24"/>
          <w:szCs w:val="24"/>
        </w:rPr>
      </w:pPr>
      <w:r w:rsidRPr="00375171">
        <w:rPr>
          <w:sz w:val="24"/>
          <w:szCs w:val="24"/>
        </w:rPr>
        <w:t>В областта на равнопоставеността на жените и мъжете през 2024 г. са подготвени указания и позиции за участието на българските представители в заседанията на Работната група по социални въпроси към Съвета на ЕС по няколко досиета. Регулярно е предоставяна информация в съответствие със запитвания и въпросници на Европейската комисия, Съвета на Европа и други организации и институции, свързани с равенството между половете и недискриминацията.</w:t>
      </w:r>
    </w:p>
    <w:p w:rsidR="00375171" w:rsidRPr="00375171" w:rsidRDefault="00375171" w:rsidP="00375171">
      <w:pPr>
        <w:spacing w:before="0" w:after="0"/>
        <w:jc w:val="both"/>
        <w:rPr>
          <w:sz w:val="24"/>
          <w:szCs w:val="24"/>
        </w:rPr>
      </w:pPr>
      <w:r w:rsidRPr="00375171">
        <w:rPr>
          <w:sz w:val="24"/>
          <w:szCs w:val="24"/>
        </w:rPr>
        <w:t>Проведена е процедура за подбор и връчване на Отличителен знак за ефективно изпълнение на политиката по равнопоставеност на жените и мъжете за 2024 г. и е организирано специално тържествено събитие за неговото връчване. С ПМС № 43 от 15 октомври 2024 г. е приет Доклада за равнопоставеността на жените и мъжете в България за 2023 г. Изготвен е проект на Национален план за действие за насърчаване на равнопоставеността на жените и мъжете 2025-2026 г. Изготвен е Национален доклад за изпълнението на Пекинската декларация и Платформа за действие в контекста на провеждания глобален преглед Пекин +30.</w:t>
      </w:r>
    </w:p>
    <w:p w:rsidR="00375171" w:rsidRDefault="00375171" w:rsidP="00375171">
      <w:pPr>
        <w:spacing w:before="0" w:after="0"/>
        <w:jc w:val="both"/>
        <w:rPr>
          <w:sz w:val="24"/>
          <w:szCs w:val="24"/>
        </w:rPr>
      </w:pPr>
      <w:r w:rsidRPr="00375171">
        <w:rPr>
          <w:sz w:val="24"/>
          <w:szCs w:val="24"/>
        </w:rPr>
        <w:t xml:space="preserve">Осъществени са участия в заседания на Групата на високо ниво по въпросите на равнопоставеността на жените и мъжете към ЕК, Консултативния комитет по равнопоставеност на жените и мъжете към ЕК, Комисията по равнопоставеност между жените и мъжете към Съвета на Европа, Групата на високо ниво по недискриминация, равенство и разнообразие към ЕК, заседания на Управителния съвет на ЕИРП и други информационни и експертни форуми. </w:t>
      </w:r>
    </w:p>
    <w:p w:rsidR="00EB3B7A" w:rsidRPr="00F414DF" w:rsidRDefault="00EB3B7A" w:rsidP="00375171">
      <w:pPr>
        <w:spacing w:before="0" w:after="0"/>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1"/>
        <w:gridCol w:w="1807"/>
        <w:gridCol w:w="1568"/>
        <w:gridCol w:w="1286"/>
      </w:tblGrid>
      <w:tr w:rsidR="00EB3B7A" w:rsidRPr="008F13AA" w:rsidTr="000A4066">
        <w:trPr>
          <w:trHeight w:val="255"/>
          <w:jc w:val="center"/>
        </w:trPr>
        <w:tc>
          <w:tcPr>
            <w:tcW w:w="4401" w:type="dxa"/>
            <w:shd w:val="clear" w:color="auto" w:fill="D9D9D9" w:themeFill="background1" w:themeFillShade="D9"/>
            <w:vAlign w:val="center"/>
          </w:tcPr>
          <w:p w:rsidR="00EB3B7A" w:rsidRPr="00F414DF" w:rsidRDefault="00EB3B7A" w:rsidP="00261B1B">
            <w:pPr>
              <w:spacing w:before="0" w:after="0"/>
              <w:ind w:firstLine="0"/>
              <w:jc w:val="center"/>
              <w:rPr>
                <w:rFonts w:eastAsiaTheme="minorHAnsi"/>
                <w:b/>
                <w:iCs/>
                <w:lang w:eastAsia="en-US"/>
              </w:rPr>
            </w:pPr>
            <w:r w:rsidRPr="00F414DF">
              <w:rPr>
                <w:rFonts w:eastAsiaTheme="minorHAnsi"/>
                <w:b/>
                <w:iCs/>
                <w:lang w:eastAsia="en-US"/>
              </w:rPr>
              <w:t>Политика в областта на социалното подпомагане и равнопоставеността на жените и мъжете</w:t>
            </w:r>
          </w:p>
        </w:tc>
        <w:tc>
          <w:tcPr>
            <w:tcW w:w="1807" w:type="dxa"/>
            <w:vMerge w:val="restart"/>
            <w:shd w:val="clear" w:color="auto" w:fill="D9D9D9" w:themeFill="background1" w:themeFillShade="D9"/>
            <w:vAlign w:val="center"/>
          </w:tcPr>
          <w:p w:rsidR="00EB3B7A" w:rsidRPr="00F414DF" w:rsidRDefault="00EB3B7A" w:rsidP="00261B1B">
            <w:pPr>
              <w:spacing w:before="0" w:after="0"/>
              <w:ind w:firstLine="0"/>
              <w:jc w:val="center"/>
              <w:rPr>
                <w:rFonts w:eastAsiaTheme="minorHAnsi"/>
                <w:b/>
                <w:lang w:eastAsia="en-US"/>
              </w:rPr>
            </w:pPr>
            <w:r w:rsidRPr="00F414DF">
              <w:rPr>
                <w:rFonts w:eastAsiaTheme="minorHAnsi"/>
                <w:b/>
                <w:bCs/>
                <w:lang w:eastAsia="en-US"/>
              </w:rPr>
              <w:t>Мерна единица</w:t>
            </w:r>
          </w:p>
        </w:tc>
        <w:tc>
          <w:tcPr>
            <w:tcW w:w="1568" w:type="dxa"/>
            <w:vMerge w:val="restart"/>
            <w:shd w:val="clear" w:color="auto" w:fill="D9D9D9" w:themeFill="background1" w:themeFillShade="D9"/>
            <w:vAlign w:val="center"/>
          </w:tcPr>
          <w:p w:rsidR="00EB3B7A" w:rsidRPr="00F414DF" w:rsidRDefault="00EB3B7A" w:rsidP="00375171">
            <w:pPr>
              <w:spacing w:before="0" w:after="0"/>
              <w:ind w:firstLine="0"/>
              <w:jc w:val="center"/>
              <w:rPr>
                <w:rFonts w:eastAsiaTheme="minorHAnsi"/>
                <w:b/>
                <w:bCs/>
                <w:lang w:eastAsia="en-US"/>
              </w:rPr>
            </w:pPr>
            <w:r w:rsidRPr="00F414DF">
              <w:rPr>
                <w:rFonts w:eastAsiaTheme="minorHAnsi"/>
                <w:b/>
                <w:bCs/>
                <w:iCs/>
                <w:lang w:eastAsia="en-US"/>
              </w:rPr>
              <w:t>Целева стойност за 202</w:t>
            </w:r>
            <w:r w:rsidR="00375171">
              <w:rPr>
                <w:rFonts w:eastAsiaTheme="minorHAnsi"/>
                <w:b/>
                <w:bCs/>
                <w:iCs/>
                <w:lang w:eastAsia="en-US"/>
              </w:rPr>
              <w:t>4</w:t>
            </w:r>
            <w:r w:rsidRPr="00F414DF">
              <w:rPr>
                <w:rFonts w:eastAsiaTheme="minorHAnsi"/>
                <w:b/>
                <w:bCs/>
                <w:iCs/>
                <w:lang w:eastAsia="en-US"/>
              </w:rPr>
              <w:t xml:space="preserve"> г.</w:t>
            </w:r>
          </w:p>
        </w:tc>
        <w:tc>
          <w:tcPr>
            <w:tcW w:w="1286" w:type="dxa"/>
            <w:vMerge w:val="restart"/>
            <w:shd w:val="clear" w:color="auto" w:fill="D9D9D9" w:themeFill="background1" w:themeFillShade="D9"/>
            <w:vAlign w:val="center"/>
          </w:tcPr>
          <w:p w:rsidR="00EB3B7A" w:rsidRPr="00F414DF" w:rsidRDefault="00EB3B7A" w:rsidP="00261B1B">
            <w:pPr>
              <w:spacing w:before="0" w:after="0"/>
              <w:ind w:firstLine="0"/>
              <w:jc w:val="center"/>
              <w:rPr>
                <w:rFonts w:eastAsiaTheme="minorHAnsi"/>
                <w:b/>
                <w:bCs/>
                <w:iCs/>
                <w:lang w:eastAsia="en-US"/>
              </w:rPr>
            </w:pPr>
            <w:r w:rsidRPr="00F414DF">
              <w:rPr>
                <w:rFonts w:eastAsiaTheme="minorHAnsi"/>
                <w:b/>
                <w:bCs/>
                <w:iCs/>
                <w:lang w:eastAsia="en-US"/>
              </w:rPr>
              <w:t xml:space="preserve">Отчет за </w:t>
            </w:r>
          </w:p>
          <w:p w:rsidR="00EB3B7A" w:rsidRPr="00F414DF" w:rsidRDefault="00EB3B7A" w:rsidP="00375171">
            <w:pPr>
              <w:spacing w:before="0" w:after="0"/>
              <w:ind w:firstLine="0"/>
              <w:jc w:val="center"/>
              <w:rPr>
                <w:rFonts w:eastAsiaTheme="minorHAnsi"/>
                <w:b/>
                <w:bCs/>
                <w:lang w:eastAsia="en-US"/>
              </w:rPr>
            </w:pPr>
            <w:r w:rsidRPr="00F414DF">
              <w:rPr>
                <w:rFonts w:eastAsiaTheme="minorHAnsi"/>
                <w:b/>
                <w:bCs/>
                <w:iCs/>
                <w:lang w:eastAsia="en-US"/>
              </w:rPr>
              <w:t>202</w:t>
            </w:r>
            <w:r w:rsidR="00375171">
              <w:rPr>
                <w:rFonts w:eastAsiaTheme="minorHAnsi"/>
                <w:b/>
                <w:bCs/>
                <w:iCs/>
                <w:lang w:eastAsia="en-US"/>
              </w:rPr>
              <w:t>4</w:t>
            </w:r>
            <w:r w:rsidRPr="00F414DF">
              <w:rPr>
                <w:rFonts w:eastAsiaTheme="minorHAnsi"/>
                <w:b/>
                <w:bCs/>
                <w:iCs/>
                <w:lang w:eastAsia="en-US"/>
              </w:rPr>
              <w:t xml:space="preserve"> г.</w:t>
            </w:r>
          </w:p>
        </w:tc>
      </w:tr>
      <w:tr w:rsidR="00EB3B7A" w:rsidRPr="008F13AA" w:rsidTr="00242739">
        <w:trPr>
          <w:trHeight w:val="450"/>
          <w:jc w:val="center"/>
        </w:trPr>
        <w:tc>
          <w:tcPr>
            <w:tcW w:w="4401" w:type="dxa"/>
            <w:tcBorders>
              <w:bottom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lang w:eastAsia="en-US"/>
              </w:rPr>
            </w:pPr>
            <w:r w:rsidRPr="00F414DF">
              <w:rPr>
                <w:rFonts w:eastAsiaTheme="minorHAnsi"/>
                <w:bCs/>
                <w:lang w:eastAsia="en-US"/>
              </w:rPr>
              <w:t>Наименование на ключовите индикатори</w:t>
            </w:r>
          </w:p>
        </w:tc>
        <w:tc>
          <w:tcPr>
            <w:tcW w:w="1807" w:type="dxa"/>
            <w:vMerge/>
            <w:tcBorders>
              <w:bottom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lang w:eastAsia="en-US"/>
              </w:rPr>
            </w:pPr>
          </w:p>
        </w:tc>
        <w:tc>
          <w:tcPr>
            <w:tcW w:w="1568" w:type="dxa"/>
            <w:vMerge/>
            <w:tcBorders>
              <w:bottom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iCs/>
                <w:lang w:eastAsia="en-US"/>
              </w:rPr>
            </w:pPr>
          </w:p>
        </w:tc>
        <w:tc>
          <w:tcPr>
            <w:tcW w:w="1286" w:type="dxa"/>
            <w:vMerge/>
            <w:tcBorders>
              <w:bottom w:val="single" w:sz="4" w:space="0" w:color="auto"/>
            </w:tcBorders>
            <w:shd w:val="clear" w:color="auto" w:fill="D9D9D9" w:themeFill="background1" w:themeFillShade="D9"/>
            <w:vAlign w:val="center"/>
          </w:tcPr>
          <w:p w:rsidR="00EB3B7A" w:rsidRPr="00F414DF" w:rsidRDefault="00EB3B7A" w:rsidP="00261B1B">
            <w:pPr>
              <w:spacing w:before="0" w:after="0"/>
              <w:ind w:firstLine="0"/>
              <w:jc w:val="center"/>
              <w:rPr>
                <w:rFonts w:eastAsiaTheme="minorHAnsi"/>
                <w:bCs/>
                <w:iCs/>
                <w:lang w:eastAsia="en-US"/>
              </w:rPr>
            </w:pPr>
          </w:p>
        </w:tc>
      </w:tr>
      <w:tr w:rsidR="00375171" w:rsidRPr="008F13AA" w:rsidTr="00242739">
        <w:trPr>
          <w:trHeight w:val="255"/>
          <w:jc w:val="center"/>
        </w:trPr>
        <w:tc>
          <w:tcPr>
            <w:tcW w:w="4401"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F414DF" w:rsidRDefault="00375171" w:rsidP="00375171">
            <w:pPr>
              <w:spacing w:before="0" w:after="0"/>
              <w:ind w:firstLine="0"/>
              <w:rPr>
                <w:rFonts w:eastAsia="Calibri"/>
              </w:rPr>
            </w:pPr>
            <w:r w:rsidRPr="00F414DF">
              <w:rPr>
                <w:rFonts w:eastAsia="Calibri"/>
              </w:rPr>
              <w:lastRenderedPageBreak/>
              <w:t>1. Месечни помощи</w:t>
            </w:r>
          </w:p>
        </w:tc>
        <w:tc>
          <w:tcPr>
            <w:tcW w:w="1807"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F414DF" w:rsidRDefault="00375171" w:rsidP="00375171">
            <w:pPr>
              <w:spacing w:before="0" w:after="0"/>
              <w:ind w:firstLine="0"/>
              <w:rPr>
                <w:rFonts w:eastAsia="Calibri"/>
                <w:b/>
                <w:bCs/>
              </w:rPr>
            </w:pPr>
            <w:proofErr w:type="spellStart"/>
            <w:r w:rsidRPr="00F414DF">
              <w:rPr>
                <w:rFonts w:eastAsia="Calibri"/>
              </w:rPr>
              <w:t>Срeдномесечен</w:t>
            </w:r>
            <w:proofErr w:type="spellEnd"/>
            <w:r w:rsidRPr="00F414DF">
              <w:rPr>
                <w:rFonts w:eastAsia="Calibri"/>
              </w:rPr>
              <w:t xml:space="preserve"> брой лица и семейства</w:t>
            </w:r>
          </w:p>
        </w:tc>
        <w:tc>
          <w:tcPr>
            <w:tcW w:w="1568" w:type="dxa"/>
            <w:tcBorders>
              <w:top w:val="single" w:sz="4" w:space="0" w:color="auto"/>
              <w:left w:val="single" w:sz="4" w:space="0" w:color="auto"/>
              <w:bottom w:val="single" w:sz="4" w:space="0" w:color="auto"/>
              <w:right w:val="single" w:sz="4" w:space="0" w:color="auto"/>
            </w:tcBorders>
            <w:vAlign w:val="center"/>
          </w:tcPr>
          <w:p w:rsidR="00375171" w:rsidRPr="00E61537" w:rsidRDefault="00375171" w:rsidP="00375171">
            <w:pPr>
              <w:shd w:val="clear" w:color="auto" w:fill="FFFFFF"/>
              <w:spacing w:before="60" w:after="60"/>
              <w:ind w:firstLine="0"/>
              <w:jc w:val="center"/>
              <w:rPr>
                <w:rFonts w:eastAsiaTheme="minorHAnsi"/>
                <w:b/>
                <w:sz w:val="16"/>
                <w:szCs w:val="16"/>
                <w:lang w:eastAsia="en-US"/>
              </w:rPr>
            </w:pPr>
            <w:r w:rsidRPr="00E61537">
              <w:rPr>
                <w:sz w:val="16"/>
                <w:szCs w:val="16"/>
              </w:rPr>
              <w:t>32 500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177E15" w:rsidRDefault="00375171" w:rsidP="00375171">
            <w:pPr>
              <w:shd w:val="clear" w:color="auto" w:fill="FFFFFF"/>
              <w:spacing w:before="60" w:after="60"/>
              <w:ind w:firstLine="0"/>
              <w:jc w:val="center"/>
              <w:rPr>
                <w:rFonts w:eastAsia="Calibri"/>
                <w:b/>
                <w:bCs/>
                <w:sz w:val="16"/>
                <w:szCs w:val="16"/>
              </w:rPr>
            </w:pPr>
            <w:r w:rsidRPr="00177E15">
              <w:rPr>
                <w:rFonts w:eastAsia="Calibri"/>
                <w:sz w:val="16"/>
                <w:szCs w:val="16"/>
                <w:lang w:val="en-US"/>
              </w:rPr>
              <w:t>2</w:t>
            </w:r>
            <w:r>
              <w:rPr>
                <w:rFonts w:eastAsia="Calibri"/>
                <w:sz w:val="16"/>
                <w:szCs w:val="16"/>
              </w:rPr>
              <w:t>9</w:t>
            </w:r>
            <w:r w:rsidRPr="00177E15">
              <w:rPr>
                <w:rFonts w:eastAsia="Calibri"/>
                <w:sz w:val="16"/>
                <w:szCs w:val="16"/>
                <w:lang w:val="en-US"/>
              </w:rPr>
              <w:t> </w:t>
            </w:r>
            <w:r>
              <w:rPr>
                <w:rFonts w:eastAsia="Calibri"/>
                <w:sz w:val="16"/>
                <w:szCs w:val="16"/>
              </w:rPr>
              <w:t>844</w:t>
            </w:r>
            <w:r w:rsidRPr="00177E15">
              <w:rPr>
                <w:rFonts w:eastAsia="Calibri"/>
                <w:sz w:val="16"/>
                <w:szCs w:val="16"/>
              </w:rPr>
              <w:t xml:space="preserve">, </w:t>
            </w:r>
          </w:p>
          <w:p w:rsidR="00375171" w:rsidRPr="00177E15" w:rsidRDefault="00375171" w:rsidP="00375171">
            <w:pPr>
              <w:shd w:val="clear" w:color="auto" w:fill="FFFFFF"/>
              <w:spacing w:before="60" w:after="60"/>
              <w:ind w:firstLine="0"/>
              <w:jc w:val="center"/>
              <w:rPr>
                <w:rFonts w:eastAsia="Calibri"/>
                <w:b/>
                <w:bCs/>
                <w:sz w:val="16"/>
                <w:szCs w:val="16"/>
              </w:rPr>
            </w:pPr>
            <w:r w:rsidRPr="00E61537">
              <w:rPr>
                <w:rFonts w:eastAsia="Calibri"/>
                <w:sz w:val="16"/>
                <w:szCs w:val="16"/>
              </w:rPr>
              <w:t>(2 на украински граждани)</w:t>
            </w:r>
          </w:p>
        </w:tc>
      </w:tr>
      <w:tr w:rsidR="00375171" w:rsidRPr="008F13AA" w:rsidTr="00242739">
        <w:trPr>
          <w:trHeight w:val="255"/>
          <w:jc w:val="center"/>
        </w:trPr>
        <w:tc>
          <w:tcPr>
            <w:tcW w:w="4401"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F414DF" w:rsidRDefault="00375171" w:rsidP="00375171">
            <w:pPr>
              <w:spacing w:before="0" w:after="0"/>
              <w:ind w:firstLine="0"/>
              <w:rPr>
                <w:rFonts w:eastAsia="Calibri"/>
              </w:rPr>
            </w:pPr>
            <w:r w:rsidRPr="00F414DF">
              <w:rPr>
                <w:rFonts w:eastAsia="Calibri"/>
              </w:rPr>
              <w:t>2.Целеви помощи за отопление</w:t>
            </w:r>
          </w:p>
        </w:tc>
        <w:tc>
          <w:tcPr>
            <w:tcW w:w="1807"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F414DF" w:rsidRDefault="00375171" w:rsidP="00375171">
            <w:pPr>
              <w:spacing w:before="0" w:after="0"/>
              <w:ind w:firstLine="0"/>
              <w:rPr>
                <w:rFonts w:eastAsia="Calibri"/>
              </w:rPr>
            </w:pPr>
            <w:r w:rsidRPr="00F414DF">
              <w:rPr>
                <w:rFonts w:eastAsia="Calibri"/>
              </w:rPr>
              <w:t>Брой лица и семейства</w:t>
            </w:r>
          </w:p>
        </w:tc>
        <w:tc>
          <w:tcPr>
            <w:tcW w:w="1568" w:type="dxa"/>
            <w:tcBorders>
              <w:top w:val="single" w:sz="4" w:space="0" w:color="auto"/>
              <w:left w:val="nil"/>
              <w:bottom w:val="single" w:sz="4" w:space="0" w:color="auto"/>
              <w:right w:val="single" w:sz="4" w:space="0" w:color="auto"/>
            </w:tcBorders>
            <w:shd w:val="clear" w:color="auto" w:fill="auto"/>
            <w:vAlign w:val="center"/>
          </w:tcPr>
          <w:p w:rsidR="00375171" w:rsidRPr="00177E15" w:rsidRDefault="00375171" w:rsidP="00375171">
            <w:pPr>
              <w:shd w:val="clear" w:color="auto" w:fill="FFFFFF"/>
              <w:spacing w:before="60" w:after="60"/>
              <w:ind w:firstLine="0"/>
              <w:jc w:val="center"/>
              <w:rPr>
                <w:rFonts w:eastAsiaTheme="minorHAnsi"/>
                <w:b/>
                <w:sz w:val="16"/>
                <w:szCs w:val="16"/>
                <w:lang w:eastAsia="en-US"/>
              </w:rPr>
            </w:pPr>
            <w:r w:rsidRPr="00177E15">
              <w:rPr>
                <w:rFonts w:eastAsia="Calibri"/>
                <w:sz w:val="16"/>
                <w:szCs w:val="16"/>
                <w:lang w:val="en-US"/>
              </w:rPr>
              <w:t>340 400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177E15" w:rsidRDefault="00375171" w:rsidP="00375171">
            <w:pPr>
              <w:shd w:val="clear" w:color="auto" w:fill="FFFFFF"/>
              <w:spacing w:before="60" w:after="60"/>
              <w:ind w:firstLine="0"/>
              <w:jc w:val="center"/>
              <w:rPr>
                <w:rFonts w:eastAsia="Calibri"/>
                <w:b/>
                <w:bCs/>
                <w:sz w:val="16"/>
                <w:szCs w:val="16"/>
              </w:rPr>
            </w:pPr>
            <w:r>
              <w:rPr>
                <w:rFonts w:eastAsia="Calibri"/>
                <w:sz w:val="16"/>
                <w:szCs w:val="16"/>
              </w:rPr>
              <w:t>338 923</w:t>
            </w:r>
          </w:p>
        </w:tc>
      </w:tr>
      <w:tr w:rsidR="00375171" w:rsidRPr="008F13AA" w:rsidTr="00CC08DE">
        <w:trPr>
          <w:trHeight w:val="255"/>
          <w:jc w:val="center"/>
        </w:trPr>
        <w:tc>
          <w:tcPr>
            <w:tcW w:w="4401" w:type="dxa"/>
            <w:shd w:val="clear" w:color="auto" w:fill="auto"/>
            <w:vAlign w:val="center"/>
          </w:tcPr>
          <w:p w:rsidR="00375171" w:rsidRPr="00F414DF" w:rsidRDefault="00375171" w:rsidP="00375171">
            <w:pPr>
              <w:spacing w:before="0" w:after="0"/>
              <w:ind w:firstLine="0"/>
              <w:rPr>
                <w:rFonts w:eastAsia="Calibri"/>
              </w:rPr>
            </w:pPr>
            <w:r w:rsidRPr="00F414DF">
              <w:rPr>
                <w:rFonts w:eastAsia="Calibri"/>
              </w:rPr>
              <w:t>3. Лица, бенефициенти на целеви социални програми и проекти в областта на социалното включване и социалната подкрепа</w:t>
            </w:r>
          </w:p>
        </w:tc>
        <w:tc>
          <w:tcPr>
            <w:tcW w:w="1807" w:type="dxa"/>
            <w:shd w:val="clear" w:color="auto" w:fill="auto"/>
            <w:vAlign w:val="center"/>
          </w:tcPr>
          <w:p w:rsidR="00375171" w:rsidRPr="00F414DF" w:rsidRDefault="00375171" w:rsidP="00375171">
            <w:pPr>
              <w:spacing w:before="0" w:after="0"/>
              <w:ind w:firstLine="0"/>
              <w:rPr>
                <w:rFonts w:eastAsia="Calibri"/>
              </w:rPr>
            </w:pPr>
            <w:r w:rsidRPr="00F414DF">
              <w:rPr>
                <w:rFonts w:eastAsia="Calibri"/>
              </w:rPr>
              <w:t>Брой лица</w:t>
            </w:r>
          </w:p>
        </w:tc>
        <w:tc>
          <w:tcPr>
            <w:tcW w:w="1568" w:type="dxa"/>
            <w:tcBorders>
              <w:top w:val="single" w:sz="2" w:space="0" w:color="auto"/>
              <w:left w:val="single" w:sz="2" w:space="0" w:color="auto"/>
              <w:bottom w:val="single" w:sz="2" w:space="0" w:color="auto"/>
              <w:right w:val="single" w:sz="2" w:space="0" w:color="auto"/>
            </w:tcBorders>
            <w:shd w:val="clear" w:color="auto" w:fill="auto"/>
            <w:vAlign w:val="center"/>
          </w:tcPr>
          <w:p w:rsidR="00375171" w:rsidRPr="004455FA" w:rsidRDefault="00375171" w:rsidP="00375171">
            <w:pPr>
              <w:shd w:val="clear" w:color="auto" w:fill="FFFFFF"/>
              <w:spacing w:before="60" w:after="60"/>
              <w:ind w:firstLine="0"/>
              <w:jc w:val="center"/>
              <w:rPr>
                <w:b/>
                <w:sz w:val="16"/>
                <w:szCs w:val="16"/>
              </w:rPr>
            </w:pPr>
            <w:r w:rsidRPr="004455FA">
              <w:rPr>
                <w:sz w:val="16"/>
                <w:szCs w:val="16"/>
              </w:rPr>
              <w:t>14 535</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375171" w:rsidRPr="004455FA" w:rsidRDefault="00375171" w:rsidP="00375171">
            <w:pPr>
              <w:shd w:val="clear" w:color="auto" w:fill="FFFFFF"/>
              <w:spacing w:before="0" w:after="0"/>
              <w:ind w:firstLine="0"/>
              <w:jc w:val="center"/>
              <w:rPr>
                <w:rFonts w:eastAsiaTheme="minorHAnsi"/>
                <w:b/>
                <w:sz w:val="16"/>
                <w:szCs w:val="16"/>
                <w:lang w:eastAsia="en-US"/>
              </w:rPr>
            </w:pPr>
            <w:r w:rsidRPr="004455FA">
              <w:rPr>
                <w:sz w:val="16"/>
                <w:szCs w:val="16"/>
              </w:rPr>
              <w:t>28 228</w:t>
            </w:r>
          </w:p>
        </w:tc>
      </w:tr>
    </w:tbl>
    <w:p w:rsidR="00EB3B7A" w:rsidRPr="00F414DF" w:rsidRDefault="00EB3B7A" w:rsidP="00EB3B7A">
      <w:pPr>
        <w:spacing w:before="0" w:after="0"/>
        <w:ind w:firstLine="709"/>
        <w:jc w:val="both"/>
        <w:rPr>
          <w:rFonts w:eastAsiaTheme="minorHAnsi"/>
          <w:b/>
          <w:sz w:val="24"/>
          <w:szCs w:val="24"/>
          <w:lang w:eastAsia="en-US"/>
        </w:rPr>
      </w:pPr>
    </w:p>
    <w:p w:rsidR="00EB3B7A" w:rsidRPr="00F414DF" w:rsidRDefault="00EB3B7A" w:rsidP="00EB3B7A">
      <w:pPr>
        <w:spacing w:before="0" w:after="0"/>
        <w:jc w:val="both"/>
        <w:rPr>
          <w:sz w:val="24"/>
          <w:szCs w:val="24"/>
        </w:rPr>
      </w:pPr>
      <w:r w:rsidRPr="00F414DF">
        <w:rPr>
          <w:i/>
          <w:sz w:val="24"/>
          <w:szCs w:val="24"/>
        </w:rPr>
        <w:t>Тези индикатори</w:t>
      </w:r>
      <w:r w:rsidRPr="00F414DF">
        <w:rPr>
          <w:sz w:val="24"/>
          <w:szCs w:val="24"/>
        </w:rPr>
        <w:t xml:space="preserve"> отчитат непосредствените резултати (ефекти) от интервенцията за съответните преки адресати на целевите помощи и на тази база позволяват да се оценява ефективността от провеждане на политиката по социална закрила, гарантиране на социалната защита на уязвимите групи от населението и осигуряване на достъп до ресурсите на обществото и участие в тяхното потребление за всички групи в неравностойно положение при съобразяване с конкретните индивидуални потребности на нуждаещите се с оглед осигуряването на качествена подкрепа.</w:t>
      </w:r>
    </w:p>
    <w:p w:rsidR="00EB3B7A" w:rsidRPr="00F414DF" w:rsidRDefault="00EB3B7A" w:rsidP="00EB3B7A">
      <w:pPr>
        <w:spacing w:before="0" w:after="0"/>
        <w:jc w:val="both"/>
        <w:rPr>
          <w:sz w:val="24"/>
          <w:szCs w:val="24"/>
        </w:rPr>
      </w:pPr>
      <w:r w:rsidRPr="00F414DF">
        <w:rPr>
          <w:sz w:val="24"/>
          <w:szCs w:val="24"/>
        </w:rPr>
        <w:t>•</w:t>
      </w:r>
      <w:r w:rsidRPr="00F414DF">
        <w:rPr>
          <w:sz w:val="24"/>
          <w:szCs w:val="24"/>
        </w:rPr>
        <w:tab/>
      </w:r>
      <w:r w:rsidRPr="00F414DF">
        <w:rPr>
          <w:i/>
          <w:sz w:val="24"/>
          <w:szCs w:val="24"/>
        </w:rPr>
        <w:t xml:space="preserve"> Месечните социални помощи</w:t>
      </w:r>
      <w:r w:rsidRPr="00F414DF">
        <w:rPr>
          <w:sz w:val="24"/>
          <w:szCs w:val="24"/>
        </w:rPr>
        <w:t xml:space="preserve"> допълват доходите на лицата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Като база за определяне размера на месечните помощи служи гарантирания минимален доход.</w:t>
      </w:r>
    </w:p>
    <w:p w:rsidR="00EB3B7A" w:rsidRPr="00F414DF" w:rsidRDefault="00EB3B7A" w:rsidP="00EB3B7A">
      <w:pPr>
        <w:spacing w:before="0" w:after="0"/>
        <w:jc w:val="both"/>
        <w:rPr>
          <w:sz w:val="24"/>
          <w:szCs w:val="24"/>
        </w:rPr>
      </w:pPr>
      <w:r w:rsidRPr="00F414DF">
        <w:rPr>
          <w:sz w:val="24"/>
          <w:szCs w:val="24"/>
        </w:rPr>
        <w:t>•</w:t>
      </w:r>
      <w:r w:rsidRPr="00F414DF">
        <w:rPr>
          <w:sz w:val="24"/>
          <w:szCs w:val="24"/>
        </w:rPr>
        <w:tab/>
      </w:r>
      <w:r w:rsidRPr="00F414DF">
        <w:rPr>
          <w:i/>
          <w:sz w:val="24"/>
          <w:szCs w:val="24"/>
        </w:rPr>
        <w:t>Целева помощ за отопление</w:t>
      </w:r>
      <w:r w:rsidRPr="00F414DF">
        <w:rPr>
          <w:sz w:val="24"/>
          <w:szCs w:val="24"/>
        </w:rPr>
        <w:t xml:space="preserve"> 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минимален доход за отопление и отговарят на условията по чл. 10 и 11 от Правилника за прилагане на Закона за социално подпомагане (ППЗСП).</w:t>
      </w:r>
    </w:p>
    <w:p w:rsidR="00EB3B7A" w:rsidRPr="00F414DF" w:rsidRDefault="00EB3B7A" w:rsidP="00EB3B7A">
      <w:pPr>
        <w:spacing w:before="0" w:after="0"/>
        <w:jc w:val="both"/>
        <w:rPr>
          <w:sz w:val="24"/>
          <w:szCs w:val="24"/>
        </w:rPr>
      </w:pPr>
      <w:r w:rsidRPr="00F414DF">
        <w:rPr>
          <w:sz w:val="24"/>
          <w:szCs w:val="24"/>
        </w:rPr>
        <w:t>•</w:t>
      </w:r>
      <w:r w:rsidRPr="00F414DF">
        <w:rPr>
          <w:sz w:val="24"/>
          <w:szCs w:val="24"/>
        </w:rPr>
        <w:tab/>
        <w:t xml:space="preserve">Ключовият индикатор </w:t>
      </w:r>
      <w:r w:rsidRPr="00F414DF">
        <w:rPr>
          <w:i/>
          <w:sz w:val="24"/>
          <w:szCs w:val="24"/>
        </w:rPr>
        <w:t>„Лица, бенефициенти на целеви социални програми и проекти в областта на социалното включване и социалната подкрепа</w:t>
      </w:r>
      <w:r w:rsidRPr="00F414DF">
        <w:rPr>
          <w:sz w:val="24"/>
          <w:szCs w:val="24"/>
        </w:rPr>
        <w:t>“ поставя акцент върху дейност с пряк ефект върху уязвими групи от населението.</w:t>
      </w:r>
    </w:p>
    <w:p w:rsidR="00EB3B7A" w:rsidRPr="00F414DF" w:rsidRDefault="00EB3B7A" w:rsidP="00375171">
      <w:pPr>
        <w:spacing w:before="240"/>
        <w:ind w:firstLine="0"/>
        <w:jc w:val="center"/>
        <w:rPr>
          <w:rFonts w:eastAsiaTheme="minorHAnsi"/>
          <w:b/>
          <w:caps/>
          <w:sz w:val="24"/>
          <w:szCs w:val="24"/>
          <w:lang w:eastAsia="en-US"/>
        </w:rPr>
      </w:pPr>
      <w:r w:rsidRPr="00F414DF">
        <w:rPr>
          <w:rFonts w:eastAsiaTheme="minorHAnsi"/>
          <w:b/>
          <w:sz w:val="24"/>
          <w:szCs w:val="24"/>
          <w:lang w:eastAsia="en-US"/>
        </w:rPr>
        <w:t>Политика в областта на хората с увреждания</w:t>
      </w:r>
    </w:p>
    <w:p w:rsidR="00375171" w:rsidRPr="00375171" w:rsidRDefault="00375171" w:rsidP="00375171">
      <w:pPr>
        <w:spacing w:before="0" w:after="0"/>
        <w:contextualSpacing/>
        <w:jc w:val="both"/>
        <w:rPr>
          <w:sz w:val="24"/>
          <w:szCs w:val="24"/>
        </w:rPr>
      </w:pPr>
      <w:r w:rsidRPr="00375171">
        <w:rPr>
          <w:sz w:val="24"/>
          <w:szCs w:val="24"/>
        </w:rPr>
        <w:t>Политиката за правата на хората с увреждания е насочена към социално приобщаване на хората с увреждания във всички области на обществения живот чрез създаване на условия и гаранции за равнопоставеност и упражняване на права, при стриктното придържане към индивидуалния подход при определяне на потребностите от адекватна подкрепа за пълноценно и ефективно участие на хората с увреждания и техните семейства, както и изпълнение на националните ангажименти по прилагане на изискванията на Конвенцията на ООН за правата на хората с увреждания.</w:t>
      </w:r>
    </w:p>
    <w:p w:rsidR="00375171" w:rsidRDefault="00375171" w:rsidP="00375171">
      <w:pPr>
        <w:spacing w:before="0" w:after="0"/>
        <w:contextualSpacing/>
        <w:jc w:val="both"/>
        <w:rPr>
          <w:sz w:val="24"/>
          <w:szCs w:val="24"/>
        </w:rPr>
      </w:pPr>
      <w:r w:rsidRPr="00375171">
        <w:rPr>
          <w:sz w:val="24"/>
          <w:szCs w:val="24"/>
        </w:rPr>
        <w:t>В този контекст през разглеждания период изпълнението на политиката за правата на хората с увреждания бе насочено към създаването на условия за социално приобщаване на хората с увреждания, подкрепа на неправителствения сектор за активно участие в процеса по социално приобщаване, обезпечаване на законодателството в тази област на политика и др., при съобразяване със заложените приоритети на релевантните стратегически документи. Продължи правоприлагането на законодателството в областта на правата на хората с увреждания.</w:t>
      </w:r>
    </w:p>
    <w:p w:rsidR="00375171" w:rsidRPr="00375171" w:rsidRDefault="00375171" w:rsidP="00375171">
      <w:pPr>
        <w:spacing w:before="0" w:after="0"/>
        <w:contextualSpacing/>
        <w:jc w:val="both"/>
        <w:rPr>
          <w:sz w:val="24"/>
          <w:szCs w:val="24"/>
        </w:rPr>
      </w:pPr>
      <w:r w:rsidRPr="00375171">
        <w:rPr>
          <w:sz w:val="24"/>
          <w:szCs w:val="24"/>
        </w:rPr>
        <w:t>Предвидиха се възможности за подобряване на достъпа до заетост на хората с увреждания, за увеличаване на нивото на икономическата им активност чрез насърчаване на дейности за осигуряване на лична мобилност и достъпност, за ефективно координиране на политиката в тази област и др.</w:t>
      </w:r>
    </w:p>
    <w:p w:rsidR="00375171" w:rsidRPr="00375171" w:rsidRDefault="00375171" w:rsidP="00375171">
      <w:pPr>
        <w:spacing w:before="0" w:after="0"/>
        <w:contextualSpacing/>
        <w:jc w:val="both"/>
        <w:rPr>
          <w:sz w:val="24"/>
          <w:szCs w:val="24"/>
        </w:rPr>
      </w:pPr>
      <w:r w:rsidRPr="00375171">
        <w:rPr>
          <w:sz w:val="24"/>
          <w:szCs w:val="24"/>
        </w:rPr>
        <w:t xml:space="preserve">Основната цел и очаквани резултати на програмата са създаване на условия и гаранции за равнопоставеност, недискриминация и пълноценно участие на хората с </w:t>
      </w:r>
      <w:r w:rsidRPr="00375171">
        <w:rPr>
          <w:sz w:val="24"/>
          <w:szCs w:val="24"/>
        </w:rPr>
        <w:lastRenderedPageBreak/>
        <w:t>увреждания във всички области на обществения живот, както и упражняване на техните права чрез осигуряване на социално-икономическа подкрепа, предоставяне на насърчителни и подкрепящи мерки/услуги за тях и техните семейства в сферата на заетостта, достъпната среда и социалното включване са постигнати.</w:t>
      </w:r>
    </w:p>
    <w:p w:rsidR="00EB3B7A" w:rsidRDefault="00375171" w:rsidP="00375171">
      <w:pPr>
        <w:spacing w:before="0" w:after="0"/>
        <w:contextualSpacing/>
        <w:jc w:val="both"/>
        <w:rPr>
          <w:sz w:val="24"/>
          <w:szCs w:val="24"/>
        </w:rPr>
      </w:pPr>
      <w:r w:rsidRPr="00375171">
        <w:rPr>
          <w:i/>
          <w:sz w:val="24"/>
          <w:szCs w:val="24"/>
        </w:rPr>
        <w:t>Ключовите индикатори</w:t>
      </w:r>
      <w:r w:rsidRPr="00375171">
        <w:rPr>
          <w:sz w:val="24"/>
          <w:szCs w:val="24"/>
        </w:rPr>
        <w:t xml:space="preserve"> и целеви стойности по политиката за правата на хората с увреждания са свързани с изпълнението на 4 конкретни мерки, както следва:</w:t>
      </w:r>
    </w:p>
    <w:p w:rsidR="00375171" w:rsidRPr="00375171" w:rsidRDefault="00375171" w:rsidP="00375171">
      <w:pPr>
        <w:spacing w:before="0" w:after="0"/>
        <w:contextualSpacing/>
        <w:jc w:val="both"/>
        <w:rPr>
          <w:sz w:val="24"/>
          <w:szCs w:val="24"/>
        </w:rPr>
      </w:pPr>
      <w:r w:rsidRPr="00375171">
        <w:rPr>
          <w:sz w:val="24"/>
          <w:szCs w:val="24"/>
        </w:rPr>
        <w:t>•</w:t>
      </w:r>
      <w:r w:rsidRPr="00375171">
        <w:rPr>
          <w:sz w:val="24"/>
          <w:szCs w:val="24"/>
        </w:rPr>
        <w:tab/>
        <w:t xml:space="preserve">За периода от началото на годината до 31.12.2024 г. </w:t>
      </w:r>
      <w:proofErr w:type="spellStart"/>
      <w:r w:rsidRPr="00375171">
        <w:rPr>
          <w:sz w:val="24"/>
          <w:szCs w:val="24"/>
        </w:rPr>
        <w:t>средномесечният</w:t>
      </w:r>
      <w:proofErr w:type="spellEnd"/>
      <w:r w:rsidRPr="00375171">
        <w:rPr>
          <w:sz w:val="24"/>
          <w:szCs w:val="24"/>
        </w:rPr>
        <w:t xml:space="preserve"> брой на лицата с трайни увреждания с осигурена месечна финансова подкрепа е 697 525, а разходваният финансов ресурс от държавния бюджет възлиза на 685 078 764 лв.</w:t>
      </w:r>
    </w:p>
    <w:p w:rsidR="00375171" w:rsidRDefault="00375171" w:rsidP="00375171">
      <w:pPr>
        <w:spacing w:before="0" w:after="0"/>
        <w:contextualSpacing/>
        <w:jc w:val="both"/>
        <w:rPr>
          <w:sz w:val="24"/>
          <w:szCs w:val="24"/>
        </w:rPr>
      </w:pPr>
      <w:r w:rsidRPr="00375171">
        <w:rPr>
          <w:sz w:val="24"/>
          <w:szCs w:val="24"/>
        </w:rPr>
        <w:t>•</w:t>
      </w:r>
      <w:r w:rsidRPr="00375171">
        <w:rPr>
          <w:sz w:val="24"/>
          <w:szCs w:val="24"/>
        </w:rPr>
        <w:tab/>
        <w:t>За обезпечаване на дейностите по предоставяне на механизма лична помощ в изпълнение на Закона за личната помощ през периода 01.01. до 31.12.2024 г на общините/районите са преведени финансови средства в размер на  891 339 277 лв. с оглед осигуряването на този специфичен вид асистентска грижа, съобразно индивидуалните нужди на 64 282 средномесечен брой ползватели.</w:t>
      </w:r>
    </w:p>
    <w:p w:rsidR="00375171" w:rsidRPr="00375171" w:rsidRDefault="00375171" w:rsidP="00375171">
      <w:pPr>
        <w:spacing w:before="0" w:after="0"/>
        <w:contextualSpacing/>
        <w:jc w:val="both"/>
        <w:rPr>
          <w:sz w:val="24"/>
          <w:szCs w:val="24"/>
        </w:rPr>
      </w:pPr>
      <w:r w:rsidRPr="00375171">
        <w:rPr>
          <w:sz w:val="24"/>
          <w:szCs w:val="24"/>
        </w:rPr>
        <w:t>•</w:t>
      </w:r>
      <w:r w:rsidRPr="00375171">
        <w:rPr>
          <w:sz w:val="24"/>
          <w:szCs w:val="24"/>
        </w:rPr>
        <w:tab/>
        <w:t>Във връзка с ключовия индикатор хора с увреждания, включени в мероприятия за рехабилитация и социална интеграция, през отчетния период са финансирани 29 проекта на неправителствени организации за рехабилитация и интеграция на хората с увреждания, на обща стойност 397 498  лв. Чрез реализиране на дейностите по проектите подкрепа са получили 6 100 лица с трайни увреждания.</w:t>
      </w:r>
    </w:p>
    <w:p w:rsidR="00375171" w:rsidRPr="00F414DF" w:rsidRDefault="00375171" w:rsidP="00375171">
      <w:pPr>
        <w:spacing w:before="0" w:after="0"/>
        <w:contextualSpacing/>
        <w:jc w:val="both"/>
        <w:rPr>
          <w:sz w:val="24"/>
          <w:szCs w:val="24"/>
        </w:rPr>
      </w:pPr>
      <w:r w:rsidRPr="00375171">
        <w:rPr>
          <w:sz w:val="24"/>
          <w:szCs w:val="24"/>
        </w:rPr>
        <w:t>•</w:t>
      </w:r>
      <w:r w:rsidRPr="00375171">
        <w:rPr>
          <w:sz w:val="24"/>
          <w:szCs w:val="24"/>
        </w:rPr>
        <w:tab/>
        <w:t>Държавата осигурява финансова подкрепа на организациите на и за хората с увреждания с призната национална представителност за дейности в областта на правата на хората с увреждания с цел тяхното социално приобщаване, под формата на субсидия от държавния бюджет. Национално представителните организации на и за хора с увреждания разходват субсидиите съобразно ежегодно утвърждавано разпределение на тяхното предназначение с Решение на Министерския съвет и съгласно бюджетни насоки и срокове, както и с оглед тяхната целесъобразност. За отчетния период е осигурена финансова подкрепа под формата на субсидия на 21 организации на и за хора с увреждания с призната национална представителност в общ размер от 5 097 619 лв.</w:t>
      </w:r>
    </w:p>
    <w:p w:rsidR="00EB3B7A" w:rsidRPr="00F414DF" w:rsidRDefault="00EB3B7A" w:rsidP="00EB3B7A">
      <w:pPr>
        <w:spacing w:line="276" w:lineRule="auto"/>
        <w:ind w:firstLine="0"/>
        <w:contextualSpacing/>
        <w:jc w:val="right"/>
        <w:rPr>
          <w:rFonts w:eastAsiaTheme="minorHAnsi"/>
          <w:b/>
          <w:i/>
          <w:sz w:val="24"/>
          <w:szCs w:val="24"/>
          <w:lang w:eastAsia="en-US"/>
        </w:rPr>
      </w:pPr>
    </w:p>
    <w:p w:rsidR="00EB3B7A" w:rsidRPr="00167D0E" w:rsidRDefault="00EB3B7A" w:rsidP="00EB3B7A">
      <w:pPr>
        <w:spacing w:line="276" w:lineRule="auto"/>
        <w:ind w:firstLine="0"/>
        <w:jc w:val="center"/>
        <w:rPr>
          <w:rFonts w:eastAsiaTheme="minorHAnsi"/>
          <w:b/>
          <w:caps/>
          <w:sz w:val="24"/>
          <w:szCs w:val="24"/>
          <w:lang w:eastAsia="en-US"/>
        </w:rPr>
      </w:pPr>
      <w:r w:rsidRPr="00167D0E">
        <w:rPr>
          <w:rFonts w:eastAsiaTheme="minorHAnsi"/>
          <w:b/>
          <w:sz w:val="24"/>
          <w:szCs w:val="24"/>
          <w:lang w:eastAsia="en-US"/>
        </w:rPr>
        <w:t>Политика в областта на социалното включване</w:t>
      </w:r>
    </w:p>
    <w:p w:rsidR="00EB3B7A" w:rsidRPr="00F414DF" w:rsidRDefault="00EB3B7A" w:rsidP="00EB3B7A">
      <w:pPr>
        <w:spacing w:before="0" w:after="0"/>
        <w:jc w:val="both"/>
        <w:rPr>
          <w:sz w:val="24"/>
          <w:szCs w:val="24"/>
        </w:rPr>
      </w:pPr>
      <w:r w:rsidRPr="00F414DF">
        <w:rPr>
          <w:sz w:val="24"/>
          <w:szCs w:val="24"/>
        </w:rPr>
        <w:t xml:space="preserve">Политиката в областта на социалното включване е </w:t>
      </w:r>
      <w:proofErr w:type="spellStart"/>
      <w:r w:rsidRPr="00F414DF">
        <w:rPr>
          <w:sz w:val="24"/>
          <w:szCs w:val="24"/>
        </w:rPr>
        <w:t>многосекторна</w:t>
      </w:r>
      <w:proofErr w:type="spellEnd"/>
      <w:r w:rsidRPr="00F414DF">
        <w:rPr>
          <w:sz w:val="24"/>
          <w:szCs w:val="24"/>
        </w:rPr>
        <w:t xml:space="preserve"> политика, свързана с подобряване на целенасочеността на мерките и прилагане на интегриран подход за превенция на бедността и насърчаване на социалното включване. За постигане на целите на политиката за социално включване се прилагат редица законодателни мерки и се изпълняват стратегически документи и планове, приети на национално ниво.</w:t>
      </w:r>
    </w:p>
    <w:p w:rsidR="00EB3B7A" w:rsidRDefault="00EB3B7A" w:rsidP="00EB3B7A">
      <w:pPr>
        <w:spacing w:before="0" w:after="0"/>
        <w:jc w:val="both"/>
        <w:rPr>
          <w:sz w:val="24"/>
          <w:szCs w:val="24"/>
        </w:rPr>
      </w:pPr>
      <w:r w:rsidRPr="008F13AA">
        <w:rPr>
          <w:sz w:val="24"/>
          <w:szCs w:val="24"/>
        </w:rPr>
        <w:t>Съществена част от политиката за социално включване е предоставянето на материална подкрепа за семействата с деца и семействата, които полагат грижи за деца в риск.</w:t>
      </w:r>
    </w:p>
    <w:p w:rsidR="00F06FDE" w:rsidRPr="00F06FDE" w:rsidRDefault="00F06FDE" w:rsidP="00F06FDE">
      <w:pPr>
        <w:numPr>
          <w:ilvl w:val="0"/>
          <w:numId w:val="11"/>
        </w:numPr>
        <w:tabs>
          <w:tab w:val="left" w:pos="1134"/>
        </w:tabs>
        <w:spacing w:before="0" w:after="0" w:line="259" w:lineRule="auto"/>
        <w:ind w:left="0" w:firstLine="709"/>
        <w:contextualSpacing/>
        <w:jc w:val="both"/>
        <w:rPr>
          <w:sz w:val="24"/>
          <w:szCs w:val="24"/>
        </w:rPr>
      </w:pPr>
      <w:r w:rsidRPr="00F06FDE">
        <w:rPr>
          <w:sz w:val="24"/>
          <w:szCs w:val="24"/>
        </w:rPr>
        <w:t>Със Закона за държавния бюджет на Република България за 2024 г.</w:t>
      </w:r>
      <w:r w:rsidRPr="00F06FDE">
        <w:rPr>
          <w:rFonts w:eastAsia="Calibri"/>
          <w:sz w:val="24"/>
          <w:szCs w:val="24"/>
          <w:lang w:eastAsia="en-US"/>
        </w:rPr>
        <w:t xml:space="preserve"> (</w:t>
      </w:r>
      <w:proofErr w:type="spellStart"/>
      <w:r w:rsidRPr="00F06FDE">
        <w:rPr>
          <w:rFonts w:eastAsia="Calibri"/>
          <w:sz w:val="24"/>
          <w:szCs w:val="24"/>
          <w:lang w:eastAsia="en-US"/>
        </w:rPr>
        <w:t>обн</w:t>
      </w:r>
      <w:proofErr w:type="spellEnd"/>
      <w:r w:rsidRPr="00F06FDE">
        <w:rPr>
          <w:rFonts w:eastAsia="Calibri"/>
          <w:sz w:val="24"/>
          <w:szCs w:val="24"/>
          <w:lang w:eastAsia="en-US"/>
        </w:rPr>
        <w:t>., ДВ, бр. 108 от 2023 г., в сила от 01.01.2024 г.)</w:t>
      </w:r>
      <w:r w:rsidRPr="00F06FDE">
        <w:rPr>
          <w:sz w:val="24"/>
          <w:szCs w:val="24"/>
        </w:rPr>
        <w:t xml:space="preserve"> са увеличени размерите на доходните критерии по </w:t>
      </w:r>
      <w:r w:rsidRPr="00F06FDE">
        <w:rPr>
          <w:rFonts w:eastAsia="Calibri"/>
          <w:sz w:val="24"/>
          <w:szCs w:val="24"/>
          <w:lang w:eastAsia="ko-KR"/>
        </w:rPr>
        <w:t>Закона за семейни помощи за деца (</w:t>
      </w:r>
      <w:r w:rsidRPr="00F06FDE">
        <w:rPr>
          <w:sz w:val="24"/>
          <w:szCs w:val="24"/>
        </w:rPr>
        <w:t>ЗСПД) и на някои видове семейни помощи за деца, както следва:</w:t>
      </w:r>
    </w:p>
    <w:p w:rsidR="00F06FDE" w:rsidRPr="00F06FDE" w:rsidRDefault="00F06FDE" w:rsidP="00F06FDE">
      <w:pPr>
        <w:tabs>
          <w:tab w:val="left" w:pos="1134"/>
        </w:tabs>
        <w:spacing w:before="0" w:after="0"/>
        <w:ind w:firstLine="708"/>
        <w:jc w:val="both"/>
        <w:rPr>
          <w:sz w:val="24"/>
          <w:szCs w:val="24"/>
        </w:rPr>
      </w:pPr>
      <w:r w:rsidRPr="00F06FDE">
        <w:rPr>
          <w:sz w:val="24"/>
          <w:szCs w:val="24"/>
        </w:rPr>
        <w:t>•</w:t>
      </w:r>
      <w:r w:rsidRPr="00F06FDE">
        <w:rPr>
          <w:sz w:val="24"/>
          <w:szCs w:val="24"/>
        </w:rPr>
        <w:tab/>
        <w:t>Увеличение на размера на средномесечния доход на член от семейството за достъп до еднократната помощ при бременност и месечните помощи за отглеждане на дете до навършване на една година – от 610 лв. на 810 лв.;</w:t>
      </w:r>
    </w:p>
    <w:p w:rsidR="00F06FDE" w:rsidRPr="00F06FDE" w:rsidRDefault="00F06FDE" w:rsidP="00F06FDE">
      <w:pPr>
        <w:tabs>
          <w:tab w:val="left" w:pos="1134"/>
        </w:tabs>
        <w:spacing w:before="0" w:after="0"/>
        <w:ind w:firstLine="708"/>
        <w:jc w:val="both"/>
        <w:rPr>
          <w:sz w:val="24"/>
          <w:szCs w:val="24"/>
        </w:rPr>
      </w:pPr>
      <w:r w:rsidRPr="00F06FDE">
        <w:rPr>
          <w:sz w:val="24"/>
          <w:szCs w:val="24"/>
        </w:rPr>
        <w:t>•</w:t>
      </w:r>
      <w:r w:rsidRPr="00F06FDE">
        <w:rPr>
          <w:sz w:val="24"/>
          <w:szCs w:val="24"/>
        </w:rPr>
        <w:tab/>
        <w:t>Увеличение на размера на средномесечния доход на член от семейството за достъп до месечните помощи за отглеждане на дете до завършване на средно образование, но не повече от 20-годишна възраст:</w:t>
      </w:r>
    </w:p>
    <w:p w:rsidR="00F06FDE" w:rsidRPr="00F06FDE" w:rsidRDefault="00F06FDE" w:rsidP="00F06FDE">
      <w:pPr>
        <w:spacing w:before="0" w:after="0"/>
        <w:ind w:firstLine="708"/>
        <w:jc w:val="both"/>
        <w:rPr>
          <w:sz w:val="24"/>
          <w:szCs w:val="24"/>
        </w:rPr>
      </w:pPr>
      <w:r w:rsidRPr="00F06FDE">
        <w:rPr>
          <w:sz w:val="24"/>
          <w:szCs w:val="24"/>
        </w:rPr>
        <w:t>- от 510 лв. на 710 лв. – за получаване на пълен размер на помощта;</w:t>
      </w:r>
    </w:p>
    <w:p w:rsidR="00F06FDE" w:rsidRPr="00F06FDE" w:rsidRDefault="00F06FDE" w:rsidP="00F06FDE">
      <w:pPr>
        <w:spacing w:before="0" w:after="0"/>
        <w:ind w:firstLine="708"/>
        <w:jc w:val="both"/>
        <w:rPr>
          <w:sz w:val="24"/>
          <w:szCs w:val="24"/>
        </w:rPr>
      </w:pPr>
      <w:r w:rsidRPr="00F06FDE">
        <w:rPr>
          <w:sz w:val="24"/>
          <w:szCs w:val="24"/>
        </w:rPr>
        <w:lastRenderedPageBreak/>
        <w:t>- от 510,01 лв. до 610 лв. на 710,01 лв. до 810 лв. включително – за получаване на помощта в размер 80 на сто от пълния ѝ размер;</w:t>
      </w:r>
    </w:p>
    <w:p w:rsidR="00F06FDE" w:rsidRPr="00F06FDE" w:rsidRDefault="00F06FDE" w:rsidP="00F06FDE">
      <w:pPr>
        <w:tabs>
          <w:tab w:val="left" w:pos="1134"/>
        </w:tabs>
        <w:spacing w:before="0" w:after="0"/>
        <w:ind w:firstLine="708"/>
        <w:jc w:val="both"/>
        <w:rPr>
          <w:sz w:val="24"/>
          <w:szCs w:val="24"/>
        </w:rPr>
      </w:pPr>
      <w:r w:rsidRPr="00F06FDE">
        <w:rPr>
          <w:sz w:val="24"/>
          <w:szCs w:val="24"/>
        </w:rPr>
        <w:t>•</w:t>
      </w:r>
      <w:r w:rsidRPr="00F06FDE">
        <w:rPr>
          <w:sz w:val="24"/>
          <w:szCs w:val="24"/>
        </w:rPr>
        <w:tab/>
        <w:t>Увеличение на размера на еднократната помощ при раждане от 250 лв. на 375 лв. за първо дете, от 600 лв. на 900 лв. за второ дете, от 300 лв. на 450 лв. за трето дете и от 200 лв. на 300 лв. за четвърто и всяко следващо дете. Това увеличение се отразява и на еднократната помощ при осиновяване на дете, тъй като размерът ѝ е в зависимост от размера на помощта при раждане на първо дете (от 250 лв. на 375 лв.);</w:t>
      </w:r>
    </w:p>
    <w:p w:rsidR="00F06FDE" w:rsidRPr="00F06FDE" w:rsidRDefault="00F06FDE" w:rsidP="00F06FDE">
      <w:pPr>
        <w:tabs>
          <w:tab w:val="left" w:pos="1134"/>
        </w:tabs>
        <w:spacing w:before="0" w:after="0"/>
        <w:ind w:firstLine="708"/>
        <w:jc w:val="both"/>
        <w:rPr>
          <w:sz w:val="24"/>
          <w:szCs w:val="24"/>
        </w:rPr>
      </w:pPr>
      <w:r w:rsidRPr="00F06FDE">
        <w:rPr>
          <w:sz w:val="24"/>
          <w:szCs w:val="24"/>
        </w:rPr>
        <w:t>•</w:t>
      </w:r>
      <w:r w:rsidRPr="00F06FDE">
        <w:rPr>
          <w:sz w:val="24"/>
          <w:szCs w:val="24"/>
        </w:rPr>
        <w:tab/>
        <w:t>Увеличение на размера на еднократната помощ при бременност от 150 лв. на 225 лв.;</w:t>
      </w:r>
    </w:p>
    <w:p w:rsidR="00F06FDE" w:rsidRPr="00F06FDE" w:rsidRDefault="00F06FDE" w:rsidP="00F06FDE">
      <w:pPr>
        <w:tabs>
          <w:tab w:val="left" w:pos="1134"/>
        </w:tabs>
        <w:spacing w:before="0" w:after="0"/>
        <w:ind w:firstLine="708"/>
        <w:jc w:val="both"/>
        <w:rPr>
          <w:sz w:val="24"/>
          <w:szCs w:val="24"/>
        </w:rPr>
      </w:pPr>
      <w:r w:rsidRPr="00F06FDE">
        <w:rPr>
          <w:sz w:val="24"/>
          <w:szCs w:val="24"/>
        </w:rPr>
        <w:t>•</w:t>
      </w:r>
      <w:r w:rsidRPr="00F06FDE">
        <w:rPr>
          <w:sz w:val="24"/>
          <w:szCs w:val="24"/>
        </w:rPr>
        <w:tab/>
        <w:t>Увеличение на размерите на месечните помощи за отглеждане на дете с трайно увреждане по чл. 8д от ЗСПД, както следва:</w:t>
      </w:r>
    </w:p>
    <w:p w:rsidR="00F06FDE" w:rsidRPr="00F06FDE" w:rsidRDefault="00F06FDE" w:rsidP="00F06FDE">
      <w:pPr>
        <w:numPr>
          <w:ilvl w:val="0"/>
          <w:numId w:val="10"/>
        </w:numPr>
        <w:spacing w:before="0" w:after="0" w:line="259" w:lineRule="auto"/>
        <w:contextualSpacing/>
        <w:jc w:val="both"/>
        <w:rPr>
          <w:rFonts w:eastAsia="Calibri"/>
          <w:i/>
          <w:sz w:val="24"/>
          <w:szCs w:val="24"/>
          <w:lang w:eastAsia="en-US"/>
        </w:rPr>
      </w:pPr>
      <w:r w:rsidRPr="00F06FDE">
        <w:rPr>
          <w:rFonts w:eastAsia="Calibri"/>
          <w:i/>
          <w:sz w:val="24"/>
          <w:szCs w:val="24"/>
          <w:lang w:eastAsia="en-US"/>
        </w:rPr>
        <w:t>за родители (осиновители), семейства на роднини или близки и доброволни приемни семейства, при които са настанени деца с трайни увреждания по реда на чл. 26 от Закона за закрила на детето (ЗЗДет.), в т.ч.:</w:t>
      </w:r>
    </w:p>
    <w:p w:rsidR="00F06FDE" w:rsidRPr="00F06FDE" w:rsidRDefault="00F06FDE" w:rsidP="00F06FDE">
      <w:pPr>
        <w:spacing w:before="0" w:after="0"/>
        <w:ind w:firstLine="708"/>
        <w:jc w:val="both"/>
        <w:rPr>
          <w:sz w:val="24"/>
          <w:szCs w:val="24"/>
        </w:rPr>
      </w:pPr>
      <w:r w:rsidRPr="00F06FDE">
        <w:rPr>
          <w:sz w:val="24"/>
          <w:szCs w:val="24"/>
        </w:rPr>
        <w:t>- за дете с определени 90 и над 90 на сто вид и степен на увреждане или степен на трайно намалена работоспособност – от 930 лв. на 1 180 лв.,</w:t>
      </w:r>
    </w:p>
    <w:p w:rsidR="00F06FDE" w:rsidRPr="00F06FDE" w:rsidRDefault="00F06FDE" w:rsidP="00F06FDE">
      <w:pPr>
        <w:spacing w:before="0" w:after="0"/>
        <w:ind w:firstLine="708"/>
        <w:jc w:val="both"/>
        <w:rPr>
          <w:sz w:val="24"/>
          <w:szCs w:val="24"/>
        </w:rPr>
      </w:pPr>
      <w:r w:rsidRPr="00F06FDE">
        <w:rPr>
          <w:sz w:val="24"/>
          <w:szCs w:val="24"/>
        </w:rPr>
        <w:t>- за дете с определени от 70 до 90 на сто вид и степен на увреждане или степен на трайно намалена работоспособност – от 450 лв. на 570 лв.,</w:t>
      </w:r>
    </w:p>
    <w:p w:rsidR="00F06FDE" w:rsidRPr="00F06FDE" w:rsidRDefault="00F06FDE" w:rsidP="00F06FDE">
      <w:pPr>
        <w:spacing w:before="0" w:after="0"/>
        <w:ind w:firstLine="708"/>
        <w:jc w:val="both"/>
        <w:rPr>
          <w:sz w:val="24"/>
          <w:szCs w:val="24"/>
        </w:rPr>
      </w:pPr>
      <w:r w:rsidRPr="00F06FDE">
        <w:rPr>
          <w:sz w:val="24"/>
          <w:szCs w:val="24"/>
        </w:rPr>
        <w:t>- за дете с определени от 50 до 70 на сто вид и степен на увреждане или степен на трайно намалена работоспособност – от 350 лв. на 450 лв.</w:t>
      </w:r>
    </w:p>
    <w:p w:rsidR="00F06FDE" w:rsidRPr="00F06FDE" w:rsidRDefault="00F06FDE" w:rsidP="00F06FDE">
      <w:pPr>
        <w:numPr>
          <w:ilvl w:val="0"/>
          <w:numId w:val="10"/>
        </w:numPr>
        <w:spacing w:before="0" w:after="0" w:line="259" w:lineRule="auto"/>
        <w:contextualSpacing/>
        <w:jc w:val="both"/>
        <w:rPr>
          <w:rFonts w:eastAsia="Calibri"/>
          <w:i/>
          <w:sz w:val="24"/>
          <w:szCs w:val="24"/>
          <w:lang w:eastAsia="en-US"/>
        </w:rPr>
      </w:pPr>
      <w:r w:rsidRPr="00F06FDE">
        <w:rPr>
          <w:rFonts w:eastAsia="Calibri"/>
          <w:i/>
          <w:sz w:val="24"/>
          <w:szCs w:val="24"/>
          <w:lang w:eastAsia="en-US"/>
        </w:rPr>
        <w:t>за професионални приемни семейства, при които са настанени деца с трайни увреждания по реда на чл. 26 от ЗЗДет., в т.ч.:</w:t>
      </w:r>
    </w:p>
    <w:p w:rsidR="00F06FDE" w:rsidRPr="00F06FDE" w:rsidRDefault="00F06FDE" w:rsidP="00F06FDE">
      <w:pPr>
        <w:spacing w:before="0" w:after="0"/>
        <w:ind w:firstLine="708"/>
        <w:jc w:val="both"/>
        <w:rPr>
          <w:sz w:val="24"/>
          <w:szCs w:val="24"/>
        </w:rPr>
      </w:pPr>
      <w:r w:rsidRPr="00F06FDE">
        <w:rPr>
          <w:sz w:val="24"/>
          <w:szCs w:val="24"/>
        </w:rPr>
        <w:t>- за дете с определени 90 и над 90 на сто вид и степен на увреждане или степен на трайно намалена работоспособност – от 490 лв. на 620 лв.,</w:t>
      </w:r>
    </w:p>
    <w:p w:rsidR="00F06FDE" w:rsidRPr="00F06FDE" w:rsidRDefault="00F06FDE" w:rsidP="00F06FDE">
      <w:pPr>
        <w:spacing w:before="0" w:after="0"/>
        <w:ind w:firstLine="708"/>
        <w:jc w:val="both"/>
        <w:rPr>
          <w:sz w:val="24"/>
          <w:szCs w:val="24"/>
        </w:rPr>
      </w:pPr>
      <w:r w:rsidRPr="00F06FDE">
        <w:rPr>
          <w:sz w:val="24"/>
          <w:szCs w:val="24"/>
        </w:rPr>
        <w:t>- за дете с определени от 70 до 90 на сто вид и степен на увреждане или степен на трайно намалена работоспособност – от 420 лв. на 530 лв.,</w:t>
      </w:r>
    </w:p>
    <w:p w:rsidR="00F06FDE" w:rsidRPr="00F06FDE" w:rsidRDefault="00F06FDE" w:rsidP="00F06FDE">
      <w:pPr>
        <w:spacing w:before="0" w:after="0"/>
        <w:ind w:firstLine="708"/>
        <w:jc w:val="both"/>
        <w:rPr>
          <w:sz w:val="24"/>
          <w:szCs w:val="24"/>
        </w:rPr>
      </w:pPr>
      <w:r w:rsidRPr="00F06FDE">
        <w:rPr>
          <w:sz w:val="24"/>
          <w:szCs w:val="24"/>
        </w:rPr>
        <w:t>- за дете с определени от 50 до 70 на сто вид и степен на увреждане или степен на трайно намалена работоспособност – от 350 лв. на 450 лв.</w:t>
      </w:r>
    </w:p>
    <w:p w:rsidR="00F06FDE" w:rsidRPr="00F06FDE" w:rsidRDefault="00F06FDE" w:rsidP="00F06FDE">
      <w:pPr>
        <w:numPr>
          <w:ilvl w:val="0"/>
          <w:numId w:val="11"/>
        </w:numPr>
        <w:tabs>
          <w:tab w:val="left" w:pos="1134"/>
        </w:tabs>
        <w:spacing w:before="0" w:after="0" w:line="259" w:lineRule="auto"/>
        <w:ind w:left="0" w:firstLine="709"/>
        <w:contextualSpacing/>
        <w:jc w:val="both"/>
        <w:rPr>
          <w:rFonts w:eastAsia="Calibri"/>
          <w:sz w:val="24"/>
          <w:szCs w:val="24"/>
          <w:lang w:eastAsia="ko-KR"/>
        </w:rPr>
      </w:pPr>
      <w:r w:rsidRPr="00F06FDE">
        <w:rPr>
          <w:rFonts w:eastAsia="Calibri"/>
          <w:sz w:val="24"/>
          <w:szCs w:val="24"/>
          <w:lang w:eastAsia="ko-KR"/>
        </w:rPr>
        <w:t>Разработени и приети са с Постановление № 46 на Министерския съвет от 08.03.2024 г. изменения и допълнения на Наредбата за специализирана закрила на деца на обществени места (</w:t>
      </w:r>
      <w:proofErr w:type="spellStart"/>
      <w:r w:rsidRPr="00F06FDE">
        <w:rPr>
          <w:rFonts w:eastAsia="Calibri"/>
          <w:sz w:val="24"/>
          <w:szCs w:val="24"/>
          <w:lang w:eastAsia="ko-KR"/>
        </w:rPr>
        <w:t>обн</w:t>
      </w:r>
      <w:proofErr w:type="spellEnd"/>
      <w:r w:rsidRPr="00F06FDE">
        <w:rPr>
          <w:rFonts w:eastAsia="Calibri"/>
          <w:sz w:val="24"/>
          <w:szCs w:val="24"/>
          <w:lang w:eastAsia="ko-KR"/>
        </w:rPr>
        <w:t xml:space="preserve">., ДВ, бр. 22 от 2024 г.). Пред отчетния период са разработени и приети промени в Наредбата за условията и реда за кандидатстване, подбор и утвърждаване на приемни семейства и настаняване на деца в тях (ПМС № 266 от 26.07.2024 г.). Приети са и промени в Наредбата за условията и реда за осъществяване на мерки за предотвратяване изоставянето на деца и настаняването им в социални или интегрирани здравно-социални услуги за </w:t>
      </w:r>
      <w:proofErr w:type="spellStart"/>
      <w:r w:rsidRPr="00F06FDE">
        <w:rPr>
          <w:rFonts w:eastAsia="Calibri"/>
          <w:sz w:val="24"/>
          <w:szCs w:val="24"/>
          <w:lang w:eastAsia="ko-KR"/>
        </w:rPr>
        <w:t>резидентна</w:t>
      </w:r>
      <w:proofErr w:type="spellEnd"/>
      <w:r w:rsidRPr="00F06FDE">
        <w:rPr>
          <w:rFonts w:eastAsia="Calibri"/>
          <w:sz w:val="24"/>
          <w:szCs w:val="24"/>
          <w:lang w:eastAsia="ko-KR"/>
        </w:rPr>
        <w:t xml:space="preserve"> грижа, както и за тяхната реинтеграция, а също така и изменение и допълнение на Правилника за прилагане на Закона за закрила на детето (ПМС № 266 от 26.07.2024 г.). Разработена и издадена от министъра на труда и социалната политика е Наредба № РД-06-46/04.11.2024 г. за реда за вписването, воденето, съхраняването, поддържането и функционирането на Националната електронна информационна система за пълно осиновяване.</w:t>
      </w:r>
    </w:p>
    <w:p w:rsidR="00F06FDE" w:rsidRPr="00F06FDE" w:rsidRDefault="00F06FDE" w:rsidP="00F06FDE">
      <w:pPr>
        <w:numPr>
          <w:ilvl w:val="0"/>
          <w:numId w:val="11"/>
        </w:numPr>
        <w:tabs>
          <w:tab w:val="left" w:pos="1134"/>
        </w:tabs>
        <w:spacing w:before="0" w:after="0" w:line="259" w:lineRule="auto"/>
        <w:ind w:left="0" w:firstLine="709"/>
        <w:contextualSpacing/>
        <w:jc w:val="both"/>
        <w:rPr>
          <w:rFonts w:eastAsia="Calibri"/>
          <w:sz w:val="24"/>
          <w:szCs w:val="24"/>
          <w:lang w:eastAsia="ko-KR"/>
        </w:rPr>
      </w:pPr>
      <w:r w:rsidRPr="00F06FDE">
        <w:rPr>
          <w:rFonts w:eastAsia="Calibri"/>
          <w:sz w:val="24"/>
          <w:szCs w:val="24"/>
          <w:lang w:eastAsia="ko-KR"/>
        </w:rPr>
        <w:t>От 2024 г. с увеличението на минималната работна заплата за страната от 780 лв. на 933 лв. се увеличи и размерът на месечното възнаграждение на професионалните приемни семейства, който се определя като процентно съотношение от минималната месечна работна заплата, установена за страната и броя на настанените в семейството деца.</w:t>
      </w:r>
    </w:p>
    <w:p w:rsidR="00F06FDE" w:rsidRPr="00F06FDE" w:rsidRDefault="00F06FDE" w:rsidP="00F06FDE">
      <w:pPr>
        <w:numPr>
          <w:ilvl w:val="0"/>
          <w:numId w:val="11"/>
        </w:numPr>
        <w:tabs>
          <w:tab w:val="left" w:pos="1134"/>
        </w:tabs>
        <w:spacing w:before="0" w:after="0" w:line="259" w:lineRule="auto"/>
        <w:ind w:left="0" w:firstLine="709"/>
        <w:contextualSpacing/>
        <w:jc w:val="both"/>
        <w:rPr>
          <w:rFonts w:eastAsia="Calibri"/>
          <w:sz w:val="24"/>
          <w:szCs w:val="24"/>
          <w:lang w:eastAsia="ko-KR"/>
        </w:rPr>
      </w:pPr>
      <w:r w:rsidRPr="00F06FDE">
        <w:rPr>
          <w:rFonts w:eastAsia="Calibri"/>
          <w:sz w:val="24"/>
          <w:szCs w:val="24"/>
          <w:lang w:eastAsia="ko-KR"/>
        </w:rPr>
        <w:t xml:space="preserve">Приет е първият двугодишен оперативен план за периода 2023-2024 г. във връзка с Плана за действие в изпълнение на Препоръка (ЕС) 2021/1004 на Съвета за </w:t>
      </w:r>
      <w:r w:rsidRPr="00F06FDE">
        <w:rPr>
          <w:rFonts w:eastAsia="Calibri"/>
          <w:sz w:val="24"/>
          <w:szCs w:val="24"/>
          <w:lang w:eastAsia="ko-KR"/>
        </w:rPr>
        <w:lastRenderedPageBreak/>
        <w:t>създаване на Европейска гаранция за детето (2030), на заседание на Междуведомствената работна група (МРГ) за управление и координация на процеса по изпълнение на Плана за действие, проведено на 08.02.2024 г. Приет е и Доклад за изпълнението на Препоръка (ЕС) 2021/1004 на Съвета за създаване на Европейска гаранция за детето на заседание на МРГ, проведено на 19.06.2024 г. Докладът е изпратен на ЕК.</w:t>
      </w:r>
    </w:p>
    <w:p w:rsidR="00F06FDE" w:rsidRPr="00F06FDE" w:rsidRDefault="00F06FDE" w:rsidP="00F06FDE">
      <w:pPr>
        <w:numPr>
          <w:ilvl w:val="0"/>
          <w:numId w:val="11"/>
        </w:numPr>
        <w:tabs>
          <w:tab w:val="left" w:pos="1134"/>
        </w:tabs>
        <w:spacing w:before="0" w:after="0" w:line="259" w:lineRule="auto"/>
        <w:ind w:left="0" w:firstLine="709"/>
        <w:contextualSpacing/>
        <w:jc w:val="both"/>
        <w:rPr>
          <w:rFonts w:eastAsia="Calibri"/>
          <w:sz w:val="24"/>
          <w:szCs w:val="24"/>
          <w:lang w:eastAsia="ko-KR"/>
        </w:rPr>
      </w:pPr>
      <w:r w:rsidRPr="00F06FDE">
        <w:rPr>
          <w:rFonts w:eastAsia="Calibri"/>
          <w:sz w:val="24"/>
          <w:szCs w:val="24"/>
          <w:lang w:eastAsia="ko-KR"/>
        </w:rPr>
        <w:t xml:space="preserve">Приет е Доклад за изпълнението за 2023 г. на Плана за действие за периода 2022-2027 г. за изпълнение на </w:t>
      </w:r>
      <w:r w:rsidRPr="00F06FDE">
        <w:rPr>
          <w:rFonts w:eastAsia="Calibri"/>
          <w:color w:val="000000"/>
          <w:sz w:val="24"/>
          <w:szCs w:val="24"/>
          <w:lang w:eastAsia="ko-KR"/>
        </w:rPr>
        <w:t xml:space="preserve">Националната стратегия за дългосрочна грижа, на заседание на </w:t>
      </w:r>
      <w:r w:rsidRPr="00F06FDE">
        <w:rPr>
          <w:rFonts w:eastAsia="Calibri"/>
          <w:sz w:val="24"/>
          <w:szCs w:val="24"/>
          <w:lang w:eastAsia="ko-KR"/>
        </w:rPr>
        <w:t xml:space="preserve">Междуведомствената работна група (МРГ) за управление и координация на процеса на деинституционализация на грижата за възрастните хора и хората с увреждания на заседание, проведено на 25.06.2024 г. </w:t>
      </w:r>
    </w:p>
    <w:p w:rsidR="00F06FDE" w:rsidRPr="00F06FDE" w:rsidRDefault="00F06FDE" w:rsidP="00F06FDE">
      <w:pPr>
        <w:numPr>
          <w:ilvl w:val="0"/>
          <w:numId w:val="11"/>
        </w:numPr>
        <w:tabs>
          <w:tab w:val="left" w:pos="1134"/>
        </w:tabs>
        <w:spacing w:before="0" w:after="0" w:line="259" w:lineRule="auto"/>
        <w:ind w:left="0" w:firstLine="709"/>
        <w:contextualSpacing/>
        <w:jc w:val="both"/>
        <w:rPr>
          <w:rFonts w:eastAsia="Calibri"/>
          <w:sz w:val="24"/>
          <w:szCs w:val="24"/>
          <w:lang w:eastAsia="ko-KR"/>
        </w:rPr>
      </w:pPr>
      <w:r w:rsidRPr="00F06FDE">
        <w:rPr>
          <w:rFonts w:eastAsia="Calibri"/>
          <w:sz w:val="24"/>
          <w:szCs w:val="24"/>
          <w:lang w:eastAsia="ko-KR"/>
        </w:rPr>
        <w:t>На заседанието на 25.06.2024 г. на МРГ за управление и координация на процеса на деинституционализация на грижата за възрастните хора и хората с увреждания е одобрен и Доклад за изпълнението на Препоръката на Съвета относно достъпа до финансово приемливи висококачествени дългосрочни грижи (2022/c 476/01), който обхваща периода 08.12.2022 г. – 31.05.2024 г., който е изпратен на ЕК.</w:t>
      </w:r>
    </w:p>
    <w:p w:rsidR="00A94F0E" w:rsidRDefault="00A94F0E" w:rsidP="00A94F0E">
      <w:pPr>
        <w:tabs>
          <w:tab w:val="left" w:pos="1134"/>
        </w:tabs>
        <w:spacing w:before="0" w:after="0"/>
        <w:ind w:firstLine="0"/>
        <w:jc w:val="both"/>
        <w:rPr>
          <w:rFonts w:eastAsia="Calibri"/>
          <w:bCs/>
          <w:iCs/>
          <w:color w:val="000000"/>
          <w:sz w:val="24"/>
          <w:szCs w:val="24"/>
          <w:lang w:eastAsia="ko-KR"/>
        </w:rPr>
      </w:pPr>
      <w:r>
        <w:rPr>
          <w:rFonts w:eastAsia="Calibri"/>
          <w:bCs/>
          <w:iCs/>
          <w:color w:val="000000"/>
          <w:sz w:val="24"/>
          <w:szCs w:val="24"/>
          <w:lang w:eastAsia="ko-KR"/>
        </w:rPr>
        <w:tab/>
      </w:r>
      <w:r w:rsidR="00F06FDE" w:rsidRPr="00F06FDE">
        <w:rPr>
          <w:rFonts w:eastAsia="Calibri"/>
          <w:bCs/>
          <w:iCs/>
          <w:color w:val="000000"/>
          <w:sz w:val="24"/>
          <w:szCs w:val="24"/>
          <w:lang w:eastAsia="ko-KR"/>
        </w:rPr>
        <w:t>С Решение № 574 на Министерския съвет от 08.08.2024 г. е приета Националната карта на социалните услуги.</w:t>
      </w:r>
    </w:p>
    <w:p w:rsidR="00F06FDE" w:rsidRPr="00A94F0E" w:rsidRDefault="00A94F0E" w:rsidP="00A94F0E">
      <w:pPr>
        <w:tabs>
          <w:tab w:val="left" w:pos="1134"/>
        </w:tabs>
        <w:spacing w:before="0" w:after="0"/>
        <w:ind w:firstLine="0"/>
        <w:jc w:val="both"/>
        <w:rPr>
          <w:rFonts w:eastAsia="Calibri"/>
          <w:bCs/>
          <w:iCs/>
          <w:color w:val="000000"/>
          <w:sz w:val="24"/>
          <w:szCs w:val="24"/>
          <w:lang w:eastAsia="ko-KR"/>
        </w:rPr>
      </w:pPr>
      <w:r>
        <w:rPr>
          <w:rFonts w:eastAsia="Calibri"/>
          <w:bCs/>
          <w:iCs/>
          <w:color w:val="000000"/>
          <w:sz w:val="24"/>
          <w:szCs w:val="24"/>
          <w:lang w:eastAsia="ko-KR"/>
        </w:rPr>
        <w:tab/>
      </w:r>
      <w:r w:rsidR="00F06FDE" w:rsidRPr="00F06FDE">
        <w:rPr>
          <w:sz w:val="24"/>
          <w:szCs w:val="24"/>
        </w:rPr>
        <w:t>Изразходваните средства за 2024 г. по програма „Подкрепа за децата и семействата“ са в общ размер на 674 730 335 лв., което представлява над 98% от бюджета по тази програма, която е в размер на 687 170 000 лв. Допълнително 32 796 143 лв. са трансферирани средства от държавния бюджет към общините за професионални приемни семейства и настанените при тях деца.</w:t>
      </w:r>
    </w:p>
    <w:p w:rsidR="00EB3B7A" w:rsidRPr="00F414DF" w:rsidRDefault="00EB3B7A" w:rsidP="00EB3B7A">
      <w:pPr>
        <w:spacing w:line="276" w:lineRule="auto"/>
        <w:ind w:left="720" w:firstLine="0"/>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443"/>
        <w:gridCol w:w="1525"/>
        <w:gridCol w:w="1563"/>
        <w:gridCol w:w="1531"/>
      </w:tblGrid>
      <w:tr w:rsidR="00F06FDE" w:rsidRPr="00F06FDE" w:rsidTr="00F06FDE">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06FDE" w:rsidRPr="00F06FDE" w:rsidRDefault="00F06FDE" w:rsidP="00F06FDE">
            <w:pPr>
              <w:spacing w:before="0" w:after="0"/>
              <w:ind w:firstLine="0"/>
              <w:jc w:val="both"/>
              <w:rPr>
                <w:b/>
                <w:iCs/>
              </w:rPr>
            </w:pPr>
            <w:r w:rsidRPr="00F06FDE">
              <w:rPr>
                <w:b/>
                <w:bCs/>
                <w:iCs/>
              </w:rPr>
              <w:t>Политика в областта на социалното включване</w:t>
            </w:r>
          </w:p>
        </w:tc>
        <w:tc>
          <w:tcPr>
            <w:tcW w:w="1646" w:type="dxa"/>
            <w:vMerge w:val="restart"/>
            <w:tcBorders>
              <w:top w:val="single" w:sz="4" w:space="0" w:color="auto"/>
              <w:left w:val="nil"/>
              <w:bottom w:val="single" w:sz="4" w:space="0" w:color="auto"/>
              <w:right w:val="single" w:sz="4" w:space="0" w:color="auto"/>
            </w:tcBorders>
            <w:shd w:val="clear" w:color="auto" w:fill="BFBFBF" w:themeFill="background1" w:themeFillShade="BF"/>
            <w:vAlign w:val="center"/>
          </w:tcPr>
          <w:p w:rsidR="00F06FDE" w:rsidRPr="00F06FDE" w:rsidRDefault="00F06FDE" w:rsidP="00F06FDE">
            <w:pPr>
              <w:spacing w:before="0" w:after="0"/>
              <w:ind w:firstLine="0"/>
              <w:jc w:val="center"/>
              <w:rPr>
                <w:b/>
              </w:rPr>
            </w:pPr>
            <w:r w:rsidRPr="00F06FDE">
              <w:rPr>
                <w:b/>
                <w:bCs/>
              </w:rPr>
              <w:t>Мерна единица</w:t>
            </w:r>
          </w:p>
        </w:tc>
        <w:tc>
          <w:tcPr>
            <w:tcW w:w="1681" w:type="dxa"/>
            <w:vMerge w:val="restart"/>
            <w:tcBorders>
              <w:top w:val="single" w:sz="4" w:space="0" w:color="auto"/>
              <w:left w:val="nil"/>
              <w:right w:val="single" w:sz="4" w:space="0" w:color="auto"/>
            </w:tcBorders>
            <w:shd w:val="clear" w:color="auto" w:fill="BFBFBF" w:themeFill="background1" w:themeFillShade="BF"/>
            <w:vAlign w:val="center"/>
          </w:tcPr>
          <w:p w:rsidR="00F06FDE" w:rsidRPr="00F06FDE" w:rsidRDefault="00F06FDE" w:rsidP="00F06FDE">
            <w:pPr>
              <w:spacing w:before="0" w:after="0"/>
              <w:ind w:firstLine="0"/>
              <w:jc w:val="center"/>
              <w:rPr>
                <w:b/>
                <w:bCs/>
              </w:rPr>
            </w:pPr>
            <w:r w:rsidRPr="00F06FDE">
              <w:rPr>
                <w:b/>
                <w:bCs/>
              </w:rPr>
              <w:t>Целева стойност</w:t>
            </w:r>
          </w:p>
          <w:p w:rsidR="00F06FDE" w:rsidRPr="00F06FDE" w:rsidRDefault="00F06FDE" w:rsidP="00F06FDE">
            <w:pPr>
              <w:spacing w:before="0" w:after="0"/>
              <w:ind w:firstLine="0"/>
              <w:jc w:val="center"/>
              <w:rPr>
                <w:b/>
                <w:bCs/>
              </w:rPr>
            </w:pPr>
            <w:r w:rsidRPr="00F06FDE">
              <w:rPr>
                <w:b/>
                <w:bCs/>
                <w:iCs/>
              </w:rPr>
              <w:t>за 2024 г.</w:t>
            </w:r>
          </w:p>
        </w:tc>
        <w:tc>
          <w:tcPr>
            <w:tcW w:w="1681" w:type="dxa"/>
            <w:vMerge w:val="restart"/>
            <w:tcBorders>
              <w:top w:val="single" w:sz="4" w:space="0" w:color="auto"/>
              <w:left w:val="nil"/>
              <w:right w:val="single" w:sz="4" w:space="0" w:color="auto"/>
            </w:tcBorders>
            <w:shd w:val="clear" w:color="auto" w:fill="BFBFBF" w:themeFill="background1" w:themeFillShade="BF"/>
            <w:vAlign w:val="center"/>
          </w:tcPr>
          <w:p w:rsidR="00F06FDE" w:rsidRPr="00F06FDE" w:rsidRDefault="00F06FDE" w:rsidP="00F06FDE">
            <w:pPr>
              <w:spacing w:before="0" w:after="0"/>
              <w:ind w:firstLine="0"/>
              <w:jc w:val="center"/>
              <w:rPr>
                <w:b/>
                <w:bCs/>
              </w:rPr>
            </w:pPr>
            <w:r w:rsidRPr="00F06FDE">
              <w:rPr>
                <w:b/>
                <w:bCs/>
              </w:rPr>
              <w:t>Отчет</w:t>
            </w:r>
          </w:p>
          <w:p w:rsidR="00F06FDE" w:rsidRPr="00F06FDE" w:rsidRDefault="00F06FDE" w:rsidP="00F06FDE">
            <w:pPr>
              <w:spacing w:before="0" w:after="0"/>
              <w:ind w:firstLine="0"/>
              <w:jc w:val="center"/>
              <w:rPr>
                <w:b/>
                <w:bCs/>
              </w:rPr>
            </w:pPr>
            <w:r w:rsidRPr="00F06FDE">
              <w:rPr>
                <w:b/>
                <w:bCs/>
              </w:rPr>
              <w:t>за 2024 г.</w:t>
            </w:r>
          </w:p>
        </w:tc>
      </w:tr>
      <w:tr w:rsidR="00F06FDE" w:rsidRPr="00F06FDE" w:rsidTr="009A2296">
        <w:trPr>
          <w:trHeight w:val="472"/>
          <w:jc w:val="center"/>
        </w:trPr>
        <w:tc>
          <w:tcPr>
            <w:tcW w:w="49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06FDE" w:rsidRPr="00F06FDE" w:rsidRDefault="00F06FDE" w:rsidP="00F06FDE">
            <w:pPr>
              <w:spacing w:after="0"/>
              <w:jc w:val="both"/>
              <w:rPr>
                <w:b/>
                <w:bCs/>
              </w:rPr>
            </w:pPr>
            <w:r w:rsidRPr="00F06FDE">
              <w:rPr>
                <w:b/>
                <w:bCs/>
              </w:rPr>
              <w:t>Наименование на индикатора</w:t>
            </w:r>
          </w:p>
        </w:tc>
        <w:tc>
          <w:tcPr>
            <w:tcW w:w="1646" w:type="dxa"/>
            <w:vMerge/>
            <w:tcBorders>
              <w:top w:val="single" w:sz="4" w:space="0" w:color="auto"/>
              <w:left w:val="nil"/>
              <w:bottom w:val="single" w:sz="4" w:space="0" w:color="auto"/>
              <w:right w:val="single" w:sz="4" w:space="0" w:color="auto"/>
            </w:tcBorders>
            <w:shd w:val="clear" w:color="auto" w:fill="BFBFBF" w:themeFill="background1" w:themeFillShade="BF"/>
            <w:vAlign w:val="center"/>
          </w:tcPr>
          <w:p w:rsidR="00F06FDE" w:rsidRPr="00F06FDE" w:rsidRDefault="00F06FDE" w:rsidP="00F06FDE">
            <w:pPr>
              <w:spacing w:after="0"/>
              <w:jc w:val="both"/>
              <w:rPr>
                <w:b/>
                <w:bCs/>
              </w:rPr>
            </w:pPr>
          </w:p>
        </w:tc>
        <w:tc>
          <w:tcPr>
            <w:tcW w:w="1681" w:type="dxa"/>
            <w:vMerge/>
            <w:tcBorders>
              <w:left w:val="nil"/>
              <w:bottom w:val="single" w:sz="4" w:space="0" w:color="auto"/>
              <w:right w:val="single" w:sz="4" w:space="0" w:color="auto"/>
            </w:tcBorders>
            <w:shd w:val="clear" w:color="auto" w:fill="BFBFBF" w:themeFill="background1" w:themeFillShade="BF"/>
            <w:vAlign w:val="center"/>
          </w:tcPr>
          <w:p w:rsidR="00F06FDE" w:rsidRPr="00F06FDE" w:rsidRDefault="00F06FDE" w:rsidP="00F06FDE">
            <w:pPr>
              <w:spacing w:after="0"/>
              <w:jc w:val="both"/>
              <w:rPr>
                <w:b/>
                <w:bCs/>
                <w:i/>
                <w:iCs/>
              </w:rPr>
            </w:pPr>
          </w:p>
        </w:tc>
        <w:tc>
          <w:tcPr>
            <w:tcW w:w="1681" w:type="dxa"/>
            <w:vMerge/>
            <w:tcBorders>
              <w:left w:val="nil"/>
              <w:bottom w:val="single" w:sz="4" w:space="0" w:color="auto"/>
              <w:right w:val="single" w:sz="4" w:space="0" w:color="auto"/>
            </w:tcBorders>
            <w:shd w:val="clear" w:color="auto" w:fill="BFBFBF" w:themeFill="background1" w:themeFillShade="BF"/>
            <w:vAlign w:val="center"/>
          </w:tcPr>
          <w:p w:rsidR="00F06FDE" w:rsidRPr="00F06FDE" w:rsidRDefault="00F06FDE" w:rsidP="00F06FDE">
            <w:pPr>
              <w:spacing w:after="0"/>
              <w:jc w:val="both"/>
              <w:rPr>
                <w:b/>
                <w:bCs/>
                <w:i/>
                <w:iCs/>
              </w:rPr>
            </w:pPr>
          </w:p>
        </w:tc>
      </w:tr>
      <w:tr w:rsidR="00F06FDE" w:rsidRPr="00F06FDE" w:rsidTr="009A2296">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rsidR="00F06FDE" w:rsidRPr="00F06FDE" w:rsidRDefault="00F06FDE" w:rsidP="00F06FDE">
            <w:pPr>
              <w:spacing w:before="0" w:after="0"/>
              <w:ind w:firstLine="0"/>
              <w:jc w:val="both"/>
              <w:rPr>
                <w:b/>
              </w:rPr>
            </w:pPr>
            <w:r w:rsidRPr="00F06FDE">
              <w:t>1. Подкрепа на деца в риск</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both"/>
              <w:rPr>
                <w:b/>
              </w:rPr>
            </w:pPr>
            <w:r w:rsidRPr="00F06FDE">
              <w:t>ср. мес. бр. случаи</w:t>
            </w:r>
          </w:p>
        </w:tc>
        <w:tc>
          <w:tcPr>
            <w:tcW w:w="1681" w:type="dxa"/>
            <w:tcBorders>
              <w:top w:val="single" w:sz="4" w:space="0" w:color="auto"/>
              <w:left w:val="single" w:sz="4" w:space="0" w:color="auto"/>
              <w:bottom w:val="single" w:sz="4" w:space="0" w:color="auto"/>
              <w:right w:val="single" w:sz="4" w:space="0" w:color="auto"/>
            </w:tcBorders>
            <w:vAlign w:val="center"/>
          </w:tcPr>
          <w:p w:rsidR="00F06FDE" w:rsidRPr="00F06FDE" w:rsidRDefault="00F06FDE" w:rsidP="00F06FDE">
            <w:pPr>
              <w:spacing w:before="0" w:after="0"/>
              <w:ind w:firstLine="0"/>
              <w:jc w:val="right"/>
              <w:rPr>
                <w:b/>
              </w:rPr>
            </w:pPr>
            <w:r w:rsidRPr="00F06FDE">
              <w:t>4 800</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right"/>
            </w:pPr>
            <w:r w:rsidRPr="00F06FDE">
              <w:rPr>
                <w:bCs/>
              </w:rPr>
              <w:t>1 993/1 441</w:t>
            </w:r>
            <w:r w:rsidRPr="00F06FDE">
              <w:rPr>
                <w:bCs/>
                <w:vertAlign w:val="superscript"/>
              </w:rPr>
              <w:footnoteReference w:id="2"/>
            </w:r>
          </w:p>
        </w:tc>
      </w:tr>
      <w:tr w:rsidR="00F06FDE" w:rsidRPr="00F06FDE" w:rsidTr="009A2296">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rsidR="00F06FDE" w:rsidRPr="00F06FDE" w:rsidRDefault="00F06FDE" w:rsidP="00F06FDE">
            <w:pPr>
              <w:spacing w:before="0" w:after="0"/>
              <w:ind w:firstLine="0"/>
              <w:jc w:val="both"/>
              <w:rPr>
                <w:b/>
              </w:rPr>
            </w:pPr>
            <w:r w:rsidRPr="00F06FDE">
              <w:t xml:space="preserve">2. Еднократна помощ при раждане на дете </w:t>
            </w:r>
          </w:p>
        </w:tc>
        <w:tc>
          <w:tcPr>
            <w:tcW w:w="1646"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both"/>
              <w:rPr>
                <w:b/>
              </w:rPr>
            </w:pPr>
            <w:r w:rsidRPr="00F06FDE">
              <w:t>бр. деца</w:t>
            </w:r>
          </w:p>
        </w:tc>
        <w:tc>
          <w:tcPr>
            <w:tcW w:w="1681" w:type="dxa"/>
            <w:tcBorders>
              <w:top w:val="single" w:sz="4" w:space="0" w:color="auto"/>
              <w:left w:val="nil"/>
              <w:bottom w:val="single" w:sz="4" w:space="0" w:color="auto"/>
              <w:right w:val="single" w:sz="4" w:space="0" w:color="auto"/>
            </w:tcBorders>
            <w:vAlign w:val="center"/>
          </w:tcPr>
          <w:p w:rsidR="00F06FDE" w:rsidRPr="00F06FDE" w:rsidRDefault="00F06FDE" w:rsidP="00F06FDE">
            <w:pPr>
              <w:spacing w:before="0" w:after="0"/>
              <w:ind w:firstLine="0"/>
              <w:jc w:val="right"/>
            </w:pPr>
            <w:r w:rsidRPr="00F06FDE">
              <w:t>60 000</w:t>
            </w:r>
          </w:p>
        </w:tc>
        <w:tc>
          <w:tcPr>
            <w:tcW w:w="1681"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right"/>
            </w:pPr>
            <w:r w:rsidRPr="00F06FDE">
              <w:rPr>
                <w:bCs/>
              </w:rPr>
              <w:t>55 112</w:t>
            </w:r>
          </w:p>
        </w:tc>
      </w:tr>
      <w:tr w:rsidR="00F06FDE" w:rsidRPr="00F06FDE" w:rsidTr="0011736F">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rsidR="00F06FDE" w:rsidRPr="00F06FDE" w:rsidRDefault="00A94F0E" w:rsidP="00F06FDE">
            <w:pPr>
              <w:spacing w:before="0" w:after="0"/>
              <w:ind w:firstLine="0"/>
              <w:jc w:val="both"/>
              <w:rPr>
                <w:b/>
              </w:rPr>
            </w:pPr>
            <w:r>
              <w:t xml:space="preserve">3. </w:t>
            </w:r>
            <w:r w:rsidR="00F06FDE" w:rsidRPr="00F06FDE">
              <w:rPr>
                <w:bCs/>
              </w:rPr>
              <w:t>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both"/>
              <w:rPr>
                <w:b/>
              </w:rPr>
            </w:pPr>
            <w:r w:rsidRPr="00F06FDE">
              <w:t>бр. деца</w:t>
            </w:r>
          </w:p>
        </w:tc>
        <w:tc>
          <w:tcPr>
            <w:tcW w:w="1681" w:type="dxa"/>
            <w:tcBorders>
              <w:top w:val="single" w:sz="4" w:space="0" w:color="auto"/>
              <w:left w:val="single" w:sz="4" w:space="0" w:color="auto"/>
              <w:bottom w:val="single" w:sz="4" w:space="0" w:color="auto"/>
              <w:right w:val="single" w:sz="4" w:space="0" w:color="auto"/>
            </w:tcBorders>
            <w:vAlign w:val="center"/>
          </w:tcPr>
          <w:p w:rsidR="00F06FDE" w:rsidRPr="00F06FDE" w:rsidRDefault="00F06FDE" w:rsidP="00F06FDE">
            <w:pPr>
              <w:spacing w:before="0" w:after="0"/>
              <w:ind w:firstLine="0"/>
              <w:jc w:val="right"/>
            </w:pPr>
            <w:r w:rsidRPr="00F06FDE">
              <w:t>208 000</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right"/>
            </w:pPr>
            <w:r w:rsidRPr="00F06FDE">
              <w:rPr>
                <w:bCs/>
                <w:iCs/>
              </w:rPr>
              <w:t>201 168</w:t>
            </w:r>
          </w:p>
        </w:tc>
      </w:tr>
      <w:tr w:rsidR="00F06FDE" w:rsidRPr="00F06FDE" w:rsidTr="0011736F">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rsidR="00F06FDE" w:rsidRPr="00F06FDE" w:rsidRDefault="00F06FDE" w:rsidP="00F06FDE">
            <w:pPr>
              <w:spacing w:before="0" w:after="0"/>
              <w:ind w:firstLine="0"/>
              <w:jc w:val="both"/>
              <w:rPr>
                <w:b/>
                <w:bCs/>
              </w:rPr>
            </w:pPr>
            <w:r w:rsidRPr="00F06FDE">
              <w:t>4. Еднократна помощ за ученици, записани в осми клас</w:t>
            </w:r>
          </w:p>
        </w:tc>
        <w:tc>
          <w:tcPr>
            <w:tcW w:w="1646"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both"/>
            </w:pPr>
            <w:r w:rsidRPr="00F06FDE">
              <w:t>бр. деца</w:t>
            </w:r>
          </w:p>
        </w:tc>
        <w:tc>
          <w:tcPr>
            <w:tcW w:w="1681" w:type="dxa"/>
            <w:tcBorders>
              <w:top w:val="single" w:sz="4" w:space="0" w:color="auto"/>
              <w:left w:val="nil"/>
              <w:bottom w:val="single" w:sz="4" w:space="0" w:color="auto"/>
              <w:right w:val="single" w:sz="4" w:space="0" w:color="auto"/>
            </w:tcBorders>
            <w:vAlign w:val="center"/>
          </w:tcPr>
          <w:p w:rsidR="00F06FDE" w:rsidRPr="00F06FDE" w:rsidRDefault="00F06FDE" w:rsidP="00F06FDE">
            <w:pPr>
              <w:spacing w:before="0" w:after="0"/>
              <w:ind w:firstLine="0"/>
              <w:jc w:val="right"/>
            </w:pPr>
            <w:r w:rsidRPr="00F06FDE">
              <w:t>50 000</w:t>
            </w:r>
          </w:p>
        </w:tc>
        <w:tc>
          <w:tcPr>
            <w:tcW w:w="1681"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right"/>
            </w:pPr>
            <w:r w:rsidRPr="00F06FDE">
              <w:rPr>
                <w:bCs/>
              </w:rPr>
              <w:t>49 629</w:t>
            </w:r>
          </w:p>
        </w:tc>
      </w:tr>
      <w:tr w:rsidR="00F06FDE" w:rsidRPr="00F06FDE" w:rsidTr="00190462">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rsidR="00F06FDE" w:rsidRPr="00F06FDE" w:rsidRDefault="00F06FDE" w:rsidP="00F06FDE">
            <w:pPr>
              <w:spacing w:before="0" w:after="0"/>
              <w:ind w:firstLine="0"/>
              <w:jc w:val="both"/>
            </w:pPr>
            <w:r w:rsidRPr="00F06FDE">
              <w:t>5. Месечни помощи за отглеждане на дете до завършване на средно образование, но не повече от 20-годишна възраст</w:t>
            </w:r>
          </w:p>
        </w:tc>
        <w:tc>
          <w:tcPr>
            <w:tcW w:w="1646"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both"/>
            </w:pPr>
            <w:r w:rsidRPr="00F06FDE">
              <w:t>ср. мес. бр. деца</w:t>
            </w:r>
          </w:p>
        </w:tc>
        <w:tc>
          <w:tcPr>
            <w:tcW w:w="1681" w:type="dxa"/>
            <w:tcBorders>
              <w:top w:val="single" w:sz="4" w:space="0" w:color="auto"/>
              <w:left w:val="nil"/>
              <w:bottom w:val="single" w:sz="4" w:space="0" w:color="auto"/>
              <w:right w:val="single" w:sz="4" w:space="0" w:color="auto"/>
            </w:tcBorders>
            <w:vAlign w:val="center"/>
          </w:tcPr>
          <w:p w:rsidR="00F06FDE" w:rsidRPr="00F06FDE" w:rsidRDefault="00F06FDE" w:rsidP="00190462">
            <w:pPr>
              <w:spacing w:before="0" w:after="0"/>
              <w:ind w:firstLine="0"/>
              <w:jc w:val="right"/>
            </w:pPr>
            <w:r w:rsidRPr="00F06FDE">
              <w:t>439 161</w:t>
            </w:r>
          </w:p>
        </w:tc>
        <w:tc>
          <w:tcPr>
            <w:tcW w:w="1681"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right"/>
              <w:rPr>
                <w:bCs/>
              </w:rPr>
            </w:pPr>
            <w:r w:rsidRPr="00F06FDE">
              <w:rPr>
                <w:bCs/>
              </w:rPr>
              <w:t>439 161</w:t>
            </w:r>
          </w:p>
        </w:tc>
      </w:tr>
      <w:tr w:rsidR="00F06FDE" w:rsidRPr="00F06FDE" w:rsidTr="00190462">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rsidR="00F06FDE" w:rsidRPr="00F06FDE" w:rsidRDefault="00F06FDE" w:rsidP="00F06FDE">
            <w:pPr>
              <w:spacing w:before="0" w:after="0"/>
              <w:ind w:firstLine="0"/>
              <w:jc w:val="both"/>
            </w:pPr>
            <w:r w:rsidRPr="00F06FDE">
              <w:t xml:space="preserve">6. Месечни помощи за отглеждане на дете с трайно увреждане </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both"/>
            </w:pPr>
            <w:r w:rsidRPr="00F06FDE">
              <w:t>ср. мес. бр. случаи</w:t>
            </w:r>
          </w:p>
        </w:tc>
        <w:tc>
          <w:tcPr>
            <w:tcW w:w="1681" w:type="dxa"/>
            <w:tcBorders>
              <w:top w:val="single" w:sz="4" w:space="0" w:color="auto"/>
              <w:left w:val="single" w:sz="4" w:space="0" w:color="auto"/>
              <w:bottom w:val="single" w:sz="4" w:space="0" w:color="auto"/>
              <w:right w:val="single" w:sz="4" w:space="0" w:color="auto"/>
            </w:tcBorders>
            <w:vAlign w:val="center"/>
          </w:tcPr>
          <w:p w:rsidR="00F06FDE" w:rsidRPr="00F06FDE" w:rsidRDefault="00F06FDE" w:rsidP="00190462">
            <w:pPr>
              <w:spacing w:before="0" w:after="0"/>
              <w:ind w:firstLine="0"/>
              <w:jc w:val="right"/>
            </w:pPr>
            <w:r w:rsidRPr="00F06FDE">
              <w:t>28 500</w:t>
            </w:r>
          </w:p>
        </w:tc>
        <w:tc>
          <w:tcPr>
            <w:tcW w:w="1681" w:type="dxa"/>
            <w:tcBorders>
              <w:top w:val="single" w:sz="4" w:space="0" w:color="auto"/>
              <w:left w:val="nil"/>
              <w:bottom w:val="single" w:sz="4" w:space="0" w:color="auto"/>
              <w:right w:val="single" w:sz="4" w:space="0" w:color="auto"/>
            </w:tcBorders>
            <w:shd w:val="clear" w:color="auto" w:fill="auto"/>
            <w:vAlign w:val="center"/>
          </w:tcPr>
          <w:p w:rsidR="00F06FDE" w:rsidRPr="00F06FDE" w:rsidRDefault="00F06FDE" w:rsidP="00F06FDE">
            <w:pPr>
              <w:spacing w:before="0" w:after="0"/>
              <w:ind w:firstLine="0"/>
              <w:jc w:val="right"/>
              <w:rPr>
                <w:bCs/>
              </w:rPr>
            </w:pPr>
            <w:r w:rsidRPr="00F06FDE">
              <w:rPr>
                <w:bCs/>
              </w:rPr>
              <w:t>28 146</w:t>
            </w:r>
          </w:p>
        </w:tc>
      </w:tr>
    </w:tbl>
    <w:p w:rsidR="00F06FDE" w:rsidRDefault="00F06FDE" w:rsidP="00EB3B7A">
      <w:pPr>
        <w:spacing w:after="0" w:line="276" w:lineRule="auto"/>
        <w:ind w:firstLine="0"/>
        <w:jc w:val="center"/>
        <w:rPr>
          <w:rFonts w:eastAsiaTheme="minorHAnsi"/>
          <w:b/>
          <w:sz w:val="24"/>
          <w:szCs w:val="24"/>
          <w:lang w:eastAsia="en-US"/>
        </w:rPr>
      </w:pP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1</w:t>
      </w:r>
      <w:r w:rsidRPr="00F06FDE">
        <w:rPr>
          <w:rFonts w:eastAsiaTheme="minorHAnsi"/>
          <w:i/>
          <w:sz w:val="24"/>
          <w:szCs w:val="24"/>
          <w:lang w:eastAsia="en-US"/>
        </w:rPr>
        <w:t>. Подкрепа на деца в риск</w:t>
      </w:r>
      <w:r w:rsidRPr="00F06FDE">
        <w:rPr>
          <w:rFonts w:eastAsiaTheme="minorHAnsi"/>
          <w:sz w:val="24"/>
          <w:szCs w:val="24"/>
          <w:lang w:eastAsia="en-US"/>
        </w:rPr>
        <w:t xml:space="preserve"> е показател, който обхваща следните интервенции:</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w:t>
      </w:r>
      <w:r w:rsidRPr="00F06FDE">
        <w:rPr>
          <w:rFonts w:eastAsiaTheme="minorHAnsi"/>
          <w:sz w:val="24"/>
          <w:szCs w:val="24"/>
          <w:lang w:eastAsia="en-US"/>
        </w:rPr>
        <w:tab/>
        <w:t>„</w:t>
      </w:r>
      <w:r w:rsidRPr="00F06FDE">
        <w:rPr>
          <w:rFonts w:eastAsiaTheme="minorHAnsi"/>
          <w:i/>
          <w:sz w:val="24"/>
          <w:szCs w:val="24"/>
          <w:lang w:eastAsia="en-US"/>
        </w:rPr>
        <w:t>Превенция на изоставянето</w:t>
      </w:r>
      <w:r w:rsidRPr="00F06FDE">
        <w:rPr>
          <w:rFonts w:eastAsiaTheme="minorHAnsi"/>
          <w:sz w:val="24"/>
          <w:szCs w:val="24"/>
          <w:lang w:eastAsia="en-US"/>
        </w:rPr>
        <w:t xml:space="preserve">“ е закрила на детето чрез информиране, съдействие, подпомагане и услуги. В подкрепа на работата по случаи на превенция на изоставянето </w:t>
      </w:r>
      <w:r w:rsidRPr="00F06FDE">
        <w:rPr>
          <w:rFonts w:eastAsiaTheme="minorHAnsi"/>
          <w:sz w:val="24"/>
          <w:szCs w:val="24"/>
          <w:lang w:eastAsia="en-US"/>
        </w:rPr>
        <w:lastRenderedPageBreak/>
        <w:t>на семейството се отпуска финансова помощ. Помощта е еднократна и може да се предоставя до шест пъти в годината. Тя се отпуска, за да посрещне определена нужда, възникнала извънредно и необвързана с издръжката на детето;</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w:t>
      </w:r>
      <w:r w:rsidRPr="00F06FDE">
        <w:rPr>
          <w:rFonts w:eastAsiaTheme="minorHAnsi"/>
          <w:sz w:val="24"/>
          <w:szCs w:val="24"/>
          <w:lang w:eastAsia="en-US"/>
        </w:rPr>
        <w:tab/>
        <w:t>„</w:t>
      </w:r>
      <w:r w:rsidRPr="00F06FDE">
        <w:rPr>
          <w:rFonts w:eastAsiaTheme="minorHAnsi"/>
          <w:i/>
          <w:sz w:val="24"/>
          <w:szCs w:val="24"/>
          <w:lang w:eastAsia="en-US"/>
        </w:rPr>
        <w:t>Реинтеграция</w:t>
      </w:r>
      <w:r w:rsidRPr="00F06FDE">
        <w:rPr>
          <w:rFonts w:eastAsiaTheme="minorHAnsi"/>
          <w:sz w:val="24"/>
          <w:szCs w:val="24"/>
          <w:lang w:eastAsia="en-US"/>
        </w:rPr>
        <w:t>“ е процес на трайно връщане на детето от настаняване извън семейството, в биологичното семейство или осиновяването му. За подкрепа на детето и семейството се отпуска финансова помощ. Помощта е еднократна и се предоставя до шест пъти в годината. Тя се отпуска, за да посрещне определена нужда, възникнала извънредно и необвързана с издръжката на детето;</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w:t>
      </w:r>
      <w:r w:rsidRPr="00F06FDE">
        <w:rPr>
          <w:rFonts w:eastAsiaTheme="minorHAnsi"/>
          <w:sz w:val="24"/>
          <w:szCs w:val="24"/>
          <w:lang w:eastAsia="en-US"/>
        </w:rPr>
        <w:tab/>
      </w:r>
      <w:r w:rsidRPr="00F06FDE">
        <w:rPr>
          <w:rFonts w:eastAsiaTheme="minorHAnsi"/>
          <w:i/>
          <w:sz w:val="24"/>
          <w:szCs w:val="24"/>
          <w:lang w:eastAsia="en-US"/>
        </w:rPr>
        <w:t>Настанени деца при роднини и близки</w:t>
      </w:r>
      <w:r w:rsidRPr="00F06FDE">
        <w:rPr>
          <w:rFonts w:eastAsiaTheme="minorHAnsi"/>
          <w:sz w:val="24"/>
          <w:szCs w:val="24"/>
          <w:lang w:eastAsia="en-US"/>
        </w:rPr>
        <w:t xml:space="preserve"> – за деца, настанени за отглеждане при роднини или близки се отпускат финансови помощи за подкрепа на детето и семейството, в което то е настанено. Помощите са месечна и еднократна. Месечните помощи се отпускат след проверка на доходите на семейството и се диференцират съобразно възрастта на детето. Еднократната помощ може да се отпуска до шест пъти в годината. Тя е различна от месечната, и се отпуска, за да посрещне определена нужда, възникнала извънредно и необвързана с издръжката на детето;</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w:t>
      </w:r>
      <w:r w:rsidRPr="00F06FDE">
        <w:rPr>
          <w:rFonts w:eastAsiaTheme="minorHAnsi"/>
          <w:sz w:val="24"/>
          <w:szCs w:val="24"/>
          <w:lang w:eastAsia="en-US"/>
        </w:rPr>
        <w:tab/>
      </w:r>
      <w:r w:rsidRPr="00F06FDE">
        <w:rPr>
          <w:rFonts w:eastAsiaTheme="minorHAnsi"/>
          <w:i/>
          <w:sz w:val="24"/>
          <w:szCs w:val="24"/>
          <w:lang w:eastAsia="en-US"/>
        </w:rPr>
        <w:t>Настанени деца в приемни семейства</w:t>
      </w:r>
      <w:r w:rsidRPr="00F06FDE">
        <w:rPr>
          <w:rFonts w:eastAsiaTheme="minorHAnsi"/>
          <w:sz w:val="24"/>
          <w:szCs w:val="24"/>
          <w:lang w:eastAsia="en-US"/>
        </w:rPr>
        <w:t xml:space="preserve"> – за деца, настанени за отглеждане в приемно семейство, се предоставят средства за отглеждане и възпитание на детето въз основа на сключен договор. Средствата са месечни и се диференцират съобразно възрастта на детето. За отглеждане на детето в приемно семейство може да се предоставя и еднократна помощ до шест пъти в годината. Еднократната помощ е различна 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 xml:space="preserve">2. </w:t>
      </w:r>
      <w:r w:rsidRPr="00F06FDE">
        <w:rPr>
          <w:rFonts w:eastAsiaTheme="minorHAnsi"/>
          <w:i/>
          <w:sz w:val="24"/>
          <w:szCs w:val="24"/>
          <w:lang w:eastAsia="en-US"/>
        </w:rPr>
        <w:t>Еднократната помощ при раждане на дете</w:t>
      </w:r>
      <w:r w:rsidRPr="00F06FDE">
        <w:rPr>
          <w:rFonts w:eastAsiaTheme="minorHAnsi"/>
          <w:sz w:val="24"/>
          <w:szCs w:val="24"/>
          <w:lang w:eastAsia="en-US"/>
        </w:rPr>
        <w:t>. Предоставя се на майката при раждане на живо дете, независимо от доходите на семейството, когато детето не е настанено за отглеждане извън семейството по реда на чл. 26 от ЗЗДет. Размерът на помощта се диференцира според поредността на децата, родени от майката, като за първо, второ и трето дете е по-висок. При раждане на близнаци, един от които е второ дете на майката, помощта се изплаща за всяко дете близнак в размера за второ дете. Ако до навършване на 2-годишна възраст на детето се установят трайни увреждания 50 и над 50 на сто, на майката се изплаща допълнителна еднократна помощ в размер, определен ежегодно със ЗДБРБ за съответната година, но не по-малък от предходната година.</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 xml:space="preserve">3. </w:t>
      </w:r>
      <w:r w:rsidRPr="00F06FDE">
        <w:rPr>
          <w:rFonts w:eastAsiaTheme="minorHAnsi"/>
          <w:i/>
          <w:sz w:val="24"/>
          <w:szCs w:val="24"/>
          <w:lang w:eastAsia="en-US"/>
        </w:rPr>
        <w:t>Еднократната помощ за ученици, записани в първи клас или са записани или продължават о</w:t>
      </w:r>
      <w:r w:rsidR="00A94F0E">
        <w:rPr>
          <w:rFonts w:eastAsiaTheme="minorHAnsi"/>
          <w:i/>
          <w:sz w:val="24"/>
          <w:szCs w:val="24"/>
          <w:lang w:eastAsia="en-US"/>
        </w:rPr>
        <w:t>бучението</w:t>
      </w:r>
      <w:r w:rsidRPr="00F06FDE">
        <w:rPr>
          <w:rFonts w:eastAsiaTheme="minorHAnsi"/>
          <w:i/>
          <w:sz w:val="24"/>
          <w:szCs w:val="24"/>
          <w:lang w:eastAsia="en-US"/>
        </w:rPr>
        <w:t xml:space="preserve"> си във втори, трети и четвърти клас</w:t>
      </w:r>
      <w:r w:rsidRPr="00F06FDE">
        <w:rPr>
          <w:rFonts w:eastAsiaTheme="minorHAnsi"/>
          <w:sz w:val="24"/>
          <w:szCs w:val="24"/>
          <w:lang w:eastAsia="en-US"/>
        </w:rPr>
        <w:t xml:space="preserve">. Предоставя се в пари и/или в натура на семействата, чиито деца са записани или продължават обучението си в съответния клас на училище, когато децата живеят постоянно в страната и не са настанени за отглеждане извън семейството по реда на чл. 26 от ЗЗДет. Помощта е предназначена да покрие част от разходите в началото на учебната година и се предоставя без доходен критерий за нейното отпускане. Еднократната помощ се предоставя и на настойника/попечителя, който отглежда детето, както и за деца, настанени в семейства на роднини или близки и приемни семейства по реда на чл. 26 от ЗЗДет. Размерът на помощта се определя ежегодно със ЗДБРБ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 </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 xml:space="preserve">4. </w:t>
      </w:r>
      <w:r w:rsidRPr="00F06FDE">
        <w:rPr>
          <w:rFonts w:eastAsiaTheme="minorHAnsi"/>
          <w:i/>
          <w:sz w:val="24"/>
          <w:szCs w:val="24"/>
          <w:lang w:eastAsia="en-US"/>
        </w:rPr>
        <w:t>Еднократната помощ за ученици, записани в осми клас</w:t>
      </w:r>
      <w:r w:rsidRPr="00F06FDE">
        <w:rPr>
          <w:rFonts w:eastAsiaTheme="minorHAnsi"/>
          <w:sz w:val="24"/>
          <w:szCs w:val="24"/>
          <w:lang w:eastAsia="en-US"/>
        </w:rPr>
        <w:t xml:space="preserve"> – предоставя се в пари и/или в натура на семействата, чиито деца са записани в осми клас на училище, когато децата живеят постоянно в страната и не са настанени за отглеждане извън семейството по реда на чл. 26 от ЗЗДет. Помощта се отпуска независимо от дохода на семейството и е предназначена да покрие част от разходите в началото на учебната година. </w:t>
      </w:r>
      <w:r w:rsidRPr="00F06FDE">
        <w:rPr>
          <w:rFonts w:eastAsiaTheme="minorHAnsi"/>
          <w:sz w:val="24"/>
          <w:szCs w:val="24"/>
          <w:lang w:eastAsia="en-US"/>
        </w:rPr>
        <w:lastRenderedPageBreak/>
        <w:t xml:space="preserve">Еднократната помощ се предоставя и на настойника/попечителя, който отглежда детето, както и за деца, настанени в семейства на роднини или близки и приемни семейства по реда на чл. 26 от ЗЗДет. Размерът на еднократната помощ се определя ежегодно в ЗДБРБ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ѝ, а остатъкът се изплаща в началото на втория учебен срок, ако детето продължава да посещава училище. </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 xml:space="preserve">5. </w:t>
      </w:r>
      <w:r w:rsidRPr="00F06FDE">
        <w:rPr>
          <w:rFonts w:eastAsiaTheme="minorHAnsi"/>
          <w:i/>
          <w:sz w:val="24"/>
          <w:szCs w:val="24"/>
          <w:lang w:eastAsia="en-US"/>
        </w:rPr>
        <w:t>Месечните помощи за отглеждане на дете до завършване на средно образование, но не повече от 20-годишна възраст</w:t>
      </w:r>
      <w:r w:rsidRPr="00F06FDE">
        <w:rPr>
          <w:rFonts w:eastAsiaTheme="minorHAnsi"/>
          <w:sz w:val="24"/>
          <w:szCs w:val="24"/>
          <w:lang w:eastAsia="en-US"/>
        </w:rPr>
        <w:t xml:space="preserve">. Предоставят се в пари и/или в натура на семействата, чийто доход на член от семейството е по-нисък или равен на дохода по чл. 4а от ЗСПД, който се определя ежегодно със ЗДБРБ за съответната година, но не може да бъде по-малък от предходната година. В зависимост от определения доходен критерий месечната помощ се отпуска в пълен размер или в размер 80 на сто от пълния размер на помощта. Размерът на помощите също се определя ежегодно в ЗДБРБ за съответната година, като не може да бъде по-малък от предходната година. Помощта се отпуска, при условие че семейството живее постоянно в страната и детето: не е настанено за отглеждане извън семейството по реда на чл. 26 от ЗЗДет.; редовно посещава подготвителните групи в детските градини или подготвителните групи в училищата за задължително предучилищно образование на децата, освен ако това е невъзможно поради здравословното му състояние; до завършване на средно образование, но не повече от 20-годишна възраст, редовно посещава училище, освен ако това е невъзможно поради здравословното му състояние; има направени всички задължителни имунизации и профилактични прегледи съобразно възрастта и здравословното му състояние; живее постоянно в страната. За семействата, които отглеждат деца с трайни увреждания, за деца, настанени по реда на чл. 26 от ЗЗДет., за децата със или без право на наследствена пенсия от починал родител и за децата, които се отглеждат от техните самотни осиновители, помощта се отпуска без оглед на доходите на семейството. Помощта се предоставя за дете с трайно увреждане само в случай, че за детето не се получава месечна помощ по чл. 8д от ЗСПД. Месечната помощ се прекратява преди изтичане на срока, за който е отпусната, когато в рамките на един месец от учебната година са допуснати отсъствия повече от три дни от дете, посещаващо група за задължително предучилищно образование, и от 5 учебни часа от ученик, за които няма уважителни причини. В тези случаи месечната помощ може да бъде отпусната отново не по-рано от една година от датата на прекратяването. </w:t>
      </w:r>
    </w:p>
    <w:p w:rsidR="00F06FDE" w:rsidRPr="00F06FDE" w:rsidRDefault="00F06FDE" w:rsidP="00F06FDE">
      <w:pPr>
        <w:spacing w:before="0" w:after="0"/>
        <w:jc w:val="both"/>
        <w:rPr>
          <w:rFonts w:eastAsiaTheme="minorHAnsi"/>
          <w:sz w:val="24"/>
          <w:szCs w:val="24"/>
          <w:lang w:eastAsia="en-US"/>
        </w:rPr>
      </w:pPr>
      <w:r w:rsidRPr="00F06FDE">
        <w:rPr>
          <w:rFonts w:eastAsiaTheme="minorHAnsi"/>
          <w:sz w:val="24"/>
          <w:szCs w:val="24"/>
          <w:lang w:eastAsia="en-US"/>
        </w:rPr>
        <w:t xml:space="preserve">6. </w:t>
      </w:r>
      <w:r w:rsidRPr="00F06FDE">
        <w:rPr>
          <w:rFonts w:eastAsiaTheme="minorHAnsi"/>
          <w:i/>
          <w:sz w:val="24"/>
          <w:szCs w:val="24"/>
          <w:lang w:eastAsia="en-US"/>
        </w:rPr>
        <w:t>Месечните помощи за отглеждане на дете с трайно увреждане</w:t>
      </w:r>
      <w:r w:rsidRPr="00F06FDE">
        <w:rPr>
          <w:rFonts w:eastAsiaTheme="minorHAnsi"/>
          <w:sz w:val="24"/>
          <w:szCs w:val="24"/>
          <w:lang w:eastAsia="en-US"/>
        </w:rPr>
        <w:t xml:space="preserve">. Предоставят се на родители (осиновители), когато отглеждат деца с трайни увреждания, независимо от доходите на семейството, при условие, че детето живее постоянно в страната и не е настанено за отглеждане извън семейството по реда на чл. 26 от ЗЗДет. Независимо от доходите на семейството, тези помощи се предоставят и на семействата на роднини или близки и приемните семейства, при които са настанени деца с трайни увреждания по реда на чл. 26 от ЗЗДет. За всички деца с трайни увреждания помощта е предназначена за задоволяване на основните и специфичните поради увреждането потребности. За децата с определени 90 и над 90 на сто вид и степен на увреждане или степен на трайно намалена работоспособност, които се отглеждат от своите родители (осиновители), както и за семействата на роднини или близки и доброволните приемни семейства, при които такива деца са настанени по чл. 26 от ЗЗДет., помощта се предоставя и за осигуряване на грижа и подкрепа в домашна и семейна среда. От размера на помощта за семействата на роднини или близки и доброволните приемни семейства, когато настаненото дете е с определени 90 и над 90 на сто вид и степен на увреждане или степен на трайно намалена работоспособност, се приспада размерът на месечните финансови помощи (за издръжка </w:t>
      </w:r>
      <w:r w:rsidRPr="00F06FDE">
        <w:rPr>
          <w:rFonts w:eastAsiaTheme="minorHAnsi"/>
          <w:sz w:val="24"/>
          <w:szCs w:val="24"/>
          <w:lang w:eastAsia="en-US"/>
        </w:rPr>
        <w:lastRenderedPageBreak/>
        <w:t xml:space="preserve">и добавката за дете с трайно увреждане) съгласно ЗЗДет., ако семействата получават такива. Размерът на месечните помощи за дете с трайно увреждане се определя ежегодно със ЗДБРБ, като не може да бъде по-малък от предходната година и се определят в зависимост от степента на увреждането или степента на намалената работоспособност и в съответствие с предназначението им. Помощта се предоставя на семействата, отглеждащи деца с трайни увреждания, ако децата не са настанени на пълна държавна или общинска издръжка в лечебни заведения, както и в социални или интегрирани здравно-социални услуги за </w:t>
      </w:r>
      <w:proofErr w:type="spellStart"/>
      <w:r w:rsidRPr="00F06FDE">
        <w:rPr>
          <w:rFonts w:eastAsiaTheme="minorHAnsi"/>
          <w:sz w:val="24"/>
          <w:szCs w:val="24"/>
          <w:lang w:eastAsia="en-US"/>
        </w:rPr>
        <w:t>резидентна</w:t>
      </w:r>
      <w:proofErr w:type="spellEnd"/>
      <w:r w:rsidRPr="00F06FDE">
        <w:rPr>
          <w:rFonts w:eastAsiaTheme="minorHAnsi"/>
          <w:sz w:val="24"/>
          <w:szCs w:val="24"/>
          <w:lang w:eastAsia="en-US"/>
        </w:rPr>
        <w:t xml:space="preserve"> грижа, за срок, по-дълъг от един месец</w:t>
      </w:r>
    </w:p>
    <w:p w:rsidR="00EB3B7A" w:rsidRPr="00122A5F" w:rsidRDefault="00EB3B7A" w:rsidP="00EB3B7A">
      <w:pPr>
        <w:spacing w:after="0" w:line="276" w:lineRule="auto"/>
        <w:ind w:firstLine="0"/>
        <w:jc w:val="center"/>
        <w:rPr>
          <w:rFonts w:eastAsiaTheme="minorHAnsi"/>
          <w:b/>
          <w:sz w:val="24"/>
          <w:szCs w:val="24"/>
          <w:lang w:eastAsia="en-US"/>
        </w:rPr>
      </w:pPr>
      <w:r w:rsidRPr="00122A5F">
        <w:rPr>
          <w:rFonts w:eastAsiaTheme="minorHAnsi"/>
          <w:b/>
          <w:sz w:val="24"/>
          <w:szCs w:val="24"/>
          <w:lang w:eastAsia="en-US"/>
        </w:rPr>
        <w:t>Политика в областта на жизненото равнище, демографското развитие и социалните инвестиции</w:t>
      </w:r>
    </w:p>
    <w:p w:rsidR="00EB3B7A" w:rsidRPr="00F414DF" w:rsidRDefault="002527DA" w:rsidP="00EB3B7A">
      <w:pPr>
        <w:spacing w:before="0" w:after="0"/>
        <w:jc w:val="both"/>
        <w:rPr>
          <w:sz w:val="24"/>
          <w:szCs w:val="24"/>
        </w:rPr>
      </w:pPr>
      <w:r w:rsidRPr="002527DA">
        <w:rPr>
          <w:sz w:val="24"/>
          <w:szCs w:val="24"/>
        </w:rPr>
        <w:t>През 2024 г. политиката в областта на жизненото равнище, демографското развитие и социалните инвестиции следва изпълнението на заложените приоритети и цели</w:t>
      </w:r>
      <w:r>
        <w:rPr>
          <w:sz w:val="24"/>
          <w:szCs w:val="24"/>
        </w:rPr>
        <w:t xml:space="preserve">. </w:t>
      </w:r>
      <w:r w:rsidRPr="002527DA">
        <w:rPr>
          <w:sz w:val="24"/>
          <w:szCs w:val="24"/>
        </w:rPr>
        <w:t xml:space="preserve">В </w:t>
      </w:r>
      <w:r w:rsidRPr="002527DA">
        <w:rPr>
          <w:i/>
          <w:sz w:val="24"/>
          <w:szCs w:val="24"/>
        </w:rPr>
        <w:t>областта на жизненото равнище</w:t>
      </w:r>
      <w:r>
        <w:rPr>
          <w:sz w:val="24"/>
          <w:szCs w:val="24"/>
        </w:rPr>
        <w:t>:</w:t>
      </w:r>
    </w:p>
    <w:p w:rsidR="002527DA" w:rsidRDefault="00EB3B7A" w:rsidP="00EB3B7A">
      <w:pPr>
        <w:spacing w:before="0" w:after="0"/>
        <w:contextualSpacing/>
        <w:jc w:val="both"/>
        <w:rPr>
          <w:sz w:val="24"/>
          <w:szCs w:val="24"/>
        </w:rPr>
      </w:pPr>
      <w:r w:rsidRPr="00F414DF">
        <w:rPr>
          <w:sz w:val="24"/>
          <w:szCs w:val="24"/>
        </w:rPr>
        <w:t>•</w:t>
      </w:r>
      <w:r w:rsidRPr="00F414DF">
        <w:rPr>
          <w:sz w:val="24"/>
          <w:szCs w:val="24"/>
        </w:rPr>
        <w:tab/>
      </w:r>
      <w:r w:rsidR="002527DA">
        <w:rPr>
          <w:sz w:val="24"/>
          <w:szCs w:val="24"/>
        </w:rPr>
        <w:t>С</w:t>
      </w:r>
      <w:r w:rsidR="002527DA" w:rsidRPr="002527DA">
        <w:rPr>
          <w:sz w:val="24"/>
          <w:szCs w:val="24"/>
        </w:rPr>
        <w:t xml:space="preserve"> ПМС № 359/23.10.2024 г. е определен размер на минималната работна заплата за страната от 01.01.2025 г. - 1 077 лв., като спрямо 2024 г. е нараснал с 15,4%.</w:t>
      </w:r>
    </w:p>
    <w:p w:rsidR="002527DA" w:rsidRDefault="002527DA" w:rsidP="00EB3B7A">
      <w:pPr>
        <w:spacing w:before="0" w:after="0"/>
        <w:contextualSpacing/>
        <w:jc w:val="both"/>
        <w:rPr>
          <w:sz w:val="24"/>
          <w:szCs w:val="24"/>
        </w:rPr>
      </w:pPr>
      <w:r w:rsidRPr="002527DA">
        <w:rPr>
          <w:sz w:val="24"/>
          <w:szCs w:val="24"/>
        </w:rPr>
        <w:t xml:space="preserve">През последните години </w:t>
      </w:r>
      <w:r>
        <w:rPr>
          <w:sz w:val="24"/>
          <w:szCs w:val="24"/>
        </w:rPr>
        <w:t>МРЗ</w:t>
      </w:r>
      <w:r w:rsidRPr="002527DA">
        <w:rPr>
          <w:sz w:val="24"/>
          <w:szCs w:val="24"/>
        </w:rPr>
        <w:t xml:space="preserve"> нараства с ускорени темпове и отбелязва устойчив ръст в унисон с икономическия ръст през последните години. През четвърто тримесечие на 2024 г. наетите на минимална работна заплата са около 419 359 души. Наблюдава се нарастване на техния брой с 0,3% спрямо същото тримесечие на 2023 г.</w:t>
      </w:r>
    </w:p>
    <w:p w:rsidR="002527DA" w:rsidRDefault="002527DA" w:rsidP="00EB3B7A">
      <w:pPr>
        <w:spacing w:before="0" w:after="0"/>
        <w:contextualSpacing/>
        <w:jc w:val="both"/>
        <w:rPr>
          <w:sz w:val="24"/>
          <w:szCs w:val="24"/>
        </w:rPr>
      </w:pPr>
      <w:r w:rsidRPr="002527DA">
        <w:rPr>
          <w:sz w:val="24"/>
          <w:szCs w:val="24"/>
        </w:rPr>
        <w:t>Във връзка с транспонирането на Директива 2022/2041</w:t>
      </w:r>
      <w:r w:rsidRPr="002527DA">
        <w:t xml:space="preserve"> </w:t>
      </w:r>
      <w:r w:rsidRPr="002527DA">
        <w:rPr>
          <w:sz w:val="24"/>
          <w:szCs w:val="24"/>
        </w:rPr>
        <w:t>за адекватни минимални работни заплати в ЕС</w:t>
      </w:r>
      <w:r>
        <w:rPr>
          <w:sz w:val="24"/>
          <w:szCs w:val="24"/>
        </w:rPr>
        <w:t xml:space="preserve">, която има за цел </w:t>
      </w:r>
      <w:r w:rsidRPr="002527DA">
        <w:rPr>
          <w:sz w:val="24"/>
          <w:szCs w:val="24"/>
        </w:rPr>
        <w:t>да подобри адекватността на работните заплати, както и да отговори на предизвикателствата на пазара на труда</w:t>
      </w:r>
      <w:r>
        <w:rPr>
          <w:sz w:val="24"/>
          <w:szCs w:val="24"/>
        </w:rPr>
        <w:t xml:space="preserve"> през 2024 г. са </w:t>
      </w:r>
      <w:r w:rsidRPr="002527DA">
        <w:rPr>
          <w:sz w:val="24"/>
          <w:szCs w:val="24"/>
        </w:rPr>
        <w:t>проведени осем заседания на междуведомствената работна група</w:t>
      </w:r>
      <w:r>
        <w:rPr>
          <w:sz w:val="24"/>
          <w:szCs w:val="24"/>
        </w:rPr>
        <w:t>, създадена със заповед на министъра на труда и социалната политика.</w:t>
      </w:r>
      <w:r w:rsidRPr="002527DA">
        <w:t xml:space="preserve"> </w:t>
      </w:r>
      <w:r w:rsidRPr="002527DA">
        <w:rPr>
          <w:sz w:val="24"/>
          <w:szCs w:val="24"/>
        </w:rPr>
        <w:t>В рамките на установения срок за транспонирането на Директива 2022/2041 (15 ноември 2024 г.), съгласно ангажиментите си от членството в ЕС, България е предоставила на Европейската комисия таблица за съответствие съгласно действащото национално законодателство.</w:t>
      </w:r>
    </w:p>
    <w:p w:rsidR="002527DA" w:rsidRDefault="002527DA" w:rsidP="00EB3B7A">
      <w:pPr>
        <w:spacing w:before="0" w:after="0"/>
        <w:contextualSpacing/>
        <w:jc w:val="both"/>
        <w:rPr>
          <w:sz w:val="24"/>
          <w:szCs w:val="24"/>
        </w:rPr>
      </w:pPr>
      <w:r w:rsidRPr="002527DA">
        <w:rPr>
          <w:sz w:val="24"/>
          <w:szCs w:val="24"/>
        </w:rPr>
        <w:t>•</w:t>
      </w:r>
      <w:r w:rsidRPr="002527DA">
        <w:rPr>
          <w:sz w:val="24"/>
          <w:szCs w:val="24"/>
        </w:rPr>
        <w:tab/>
        <w:t>С Постановление на Министерския съвет № 328 от 30.09.2024 г. е определен размер на линията на бедност за страната за 2025 г. от 638 лв. Спрямо 2024 г. размерът на линията на бедност за страната се увеличава с 21,3%, или със 112 лв.</w:t>
      </w:r>
    </w:p>
    <w:p w:rsidR="002527DA" w:rsidRDefault="002527DA" w:rsidP="00EB3B7A">
      <w:pPr>
        <w:spacing w:before="0" w:after="0"/>
        <w:contextualSpacing/>
        <w:jc w:val="both"/>
        <w:rPr>
          <w:sz w:val="24"/>
          <w:szCs w:val="24"/>
        </w:rPr>
      </w:pPr>
      <w:r w:rsidRPr="002527DA">
        <w:rPr>
          <w:sz w:val="24"/>
          <w:szCs w:val="24"/>
        </w:rPr>
        <w:t>Новият размер на линията на бедност ще допринесе за увеличаване на базата за определяне на размера на финансовата подкрепа за хората с увреждания, социалните помощи по Закона за социално подпомагане, финансовите помощи и средства (за превенция и реинтеграция, отглеждане на детето при роднини или близки и в приемни семейства) по Закона за закрила на детето, както и за определяне на достъпа до социална пенсия за старост по Кодекса за социално осигуряване.</w:t>
      </w:r>
    </w:p>
    <w:p w:rsidR="002527DA" w:rsidRDefault="002527DA" w:rsidP="00EB3B7A">
      <w:pPr>
        <w:spacing w:before="0" w:after="0"/>
        <w:contextualSpacing/>
        <w:jc w:val="both"/>
        <w:rPr>
          <w:sz w:val="24"/>
          <w:szCs w:val="24"/>
        </w:rPr>
      </w:pPr>
      <w:r w:rsidRPr="002527DA">
        <w:rPr>
          <w:sz w:val="24"/>
          <w:szCs w:val="24"/>
        </w:rPr>
        <w:t>•</w:t>
      </w:r>
      <w:r w:rsidRPr="002527DA">
        <w:rPr>
          <w:sz w:val="24"/>
          <w:szCs w:val="24"/>
        </w:rPr>
        <w:tab/>
        <w:t>Публикувани са на официалната страница на МТСП брой № 68, 69, 70 и 71 на информационния бюлетин „Доходи и жизнено равнище“.</w:t>
      </w:r>
    </w:p>
    <w:p w:rsidR="00EB3B7A" w:rsidRDefault="002527DA" w:rsidP="00EB3B7A">
      <w:pPr>
        <w:spacing w:before="0" w:after="0"/>
        <w:contextualSpacing/>
        <w:jc w:val="both"/>
        <w:rPr>
          <w:sz w:val="24"/>
          <w:szCs w:val="24"/>
        </w:rPr>
      </w:pPr>
      <w:r w:rsidRPr="002527DA">
        <w:rPr>
          <w:sz w:val="24"/>
          <w:szCs w:val="24"/>
        </w:rPr>
        <w:t>•</w:t>
      </w:r>
      <w:r w:rsidRPr="002527DA">
        <w:rPr>
          <w:sz w:val="24"/>
          <w:szCs w:val="24"/>
        </w:rPr>
        <w:tab/>
        <w:t>Организирани са и проведени три заседания на Комисията по доходи и жизнено равнище (КДЖР) към Националния съвет за тристранно сътрудничество (НСТС) през 2024 г.</w:t>
      </w:r>
    </w:p>
    <w:p w:rsidR="00D95FC6" w:rsidRDefault="00D95FC6" w:rsidP="00EB3B7A">
      <w:pPr>
        <w:spacing w:before="0" w:after="0"/>
        <w:contextualSpacing/>
        <w:jc w:val="both"/>
        <w:rPr>
          <w:sz w:val="24"/>
          <w:szCs w:val="24"/>
        </w:rPr>
      </w:pPr>
      <w:r w:rsidRPr="00D95FC6">
        <w:rPr>
          <w:sz w:val="24"/>
          <w:szCs w:val="24"/>
        </w:rPr>
        <w:t xml:space="preserve">В </w:t>
      </w:r>
      <w:r w:rsidRPr="00D95FC6">
        <w:rPr>
          <w:i/>
          <w:sz w:val="24"/>
          <w:szCs w:val="24"/>
        </w:rPr>
        <w:t>областта на демографската политика</w:t>
      </w:r>
      <w:r w:rsidRPr="00D95FC6">
        <w:rPr>
          <w:sz w:val="24"/>
          <w:szCs w:val="24"/>
        </w:rPr>
        <w:t xml:space="preserve"> през 2024 г. е осъществена необходимата организация за реализиране на продуктите в сферата на демографското развитие</w:t>
      </w:r>
      <w:r>
        <w:rPr>
          <w:sz w:val="24"/>
          <w:szCs w:val="24"/>
        </w:rPr>
        <w:t>.</w:t>
      </w:r>
    </w:p>
    <w:p w:rsidR="00D95FC6" w:rsidRDefault="00D95FC6" w:rsidP="00D95FC6">
      <w:pPr>
        <w:spacing w:before="0" w:after="0"/>
        <w:jc w:val="both"/>
        <w:rPr>
          <w:sz w:val="24"/>
          <w:szCs w:val="24"/>
        </w:rPr>
      </w:pPr>
      <w:r w:rsidRPr="00D95FC6">
        <w:rPr>
          <w:sz w:val="24"/>
          <w:szCs w:val="24"/>
        </w:rPr>
        <w:t>•</w:t>
      </w:r>
      <w:r w:rsidRPr="00D95FC6">
        <w:rPr>
          <w:sz w:val="24"/>
          <w:szCs w:val="24"/>
        </w:rPr>
        <w:tab/>
        <w:t>През 2024 година беше актуализиран съставът на междуведомствената работна група по демографските въпроси към министъра на труда и социалната политика (МРГ) със заповед на министъра на труда и социалната политика №РД-02-50 от 15.04.2024 г.</w:t>
      </w:r>
    </w:p>
    <w:p w:rsidR="00D95FC6" w:rsidRDefault="00D95FC6" w:rsidP="00D95FC6">
      <w:pPr>
        <w:spacing w:before="0" w:after="0"/>
        <w:jc w:val="both"/>
        <w:rPr>
          <w:sz w:val="24"/>
          <w:szCs w:val="24"/>
        </w:rPr>
      </w:pPr>
      <w:r w:rsidRPr="00D95FC6">
        <w:rPr>
          <w:sz w:val="24"/>
          <w:szCs w:val="24"/>
        </w:rPr>
        <w:t>•</w:t>
      </w:r>
      <w:r w:rsidRPr="00D95FC6">
        <w:rPr>
          <w:sz w:val="24"/>
          <w:szCs w:val="24"/>
        </w:rPr>
        <w:tab/>
      </w:r>
      <w:r>
        <w:rPr>
          <w:sz w:val="24"/>
          <w:szCs w:val="24"/>
        </w:rPr>
        <w:t>С р</w:t>
      </w:r>
      <w:r w:rsidRPr="00D95FC6">
        <w:rPr>
          <w:sz w:val="24"/>
          <w:szCs w:val="24"/>
        </w:rPr>
        <w:t xml:space="preserve">аботата на МРГ продължи координацията по изпълнението на Актуализираната национална стратегия за демографско развитие на населението в Република България (2012-2030 г.). Приет с РМС №609 от 16.08.2024 г. е План за 2024 г. за изпълнение на Актуализираната национална стратегия за демографско развитие на </w:t>
      </w:r>
      <w:r w:rsidRPr="00D95FC6">
        <w:rPr>
          <w:sz w:val="24"/>
          <w:szCs w:val="24"/>
        </w:rPr>
        <w:lastRenderedPageBreak/>
        <w:t xml:space="preserve">населението в Република България (2012-2030 г.). С РМС Протокол от заседанието №49 от 27 ноември 2024 г. е приет Отчет за 2023 г. за изпълнение на Актуализираната национална стратегия за демографско развитие на населението в Република България (2012 - 2030 г.). Изпълнението на дейностите по мониторинг и координация по демографските въпроси съдейства за поддържане на </w:t>
      </w:r>
      <w:proofErr w:type="spellStart"/>
      <w:r w:rsidRPr="00D95FC6">
        <w:rPr>
          <w:sz w:val="24"/>
          <w:szCs w:val="24"/>
        </w:rPr>
        <w:t>междусекторен</w:t>
      </w:r>
      <w:proofErr w:type="spellEnd"/>
      <w:r w:rsidRPr="00D95FC6">
        <w:rPr>
          <w:sz w:val="24"/>
          <w:szCs w:val="24"/>
        </w:rPr>
        <w:t xml:space="preserve"> и междуинституционален подход за изпълнение на дейностите в демографската сфера. Осигурява се широко представителство на множество институции и организации в процеса, чрез което се постига висока степен на адекватност по отношение на адресирането на широкия кръг предизвикателства в сферата на демографските въпроси.</w:t>
      </w:r>
    </w:p>
    <w:p w:rsidR="00D95FC6" w:rsidRPr="00D95FC6" w:rsidRDefault="00D95FC6" w:rsidP="00D95FC6">
      <w:pPr>
        <w:spacing w:before="0" w:after="0"/>
        <w:jc w:val="both"/>
        <w:rPr>
          <w:sz w:val="24"/>
          <w:szCs w:val="24"/>
        </w:rPr>
      </w:pPr>
      <w:r w:rsidRPr="00D95FC6">
        <w:rPr>
          <w:sz w:val="24"/>
          <w:szCs w:val="24"/>
        </w:rPr>
        <w:t>•</w:t>
      </w:r>
      <w:r w:rsidRPr="00D95FC6">
        <w:rPr>
          <w:sz w:val="24"/>
          <w:szCs w:val="24"/>
        </w:rPr>
        <w:tab/>
        <w:t xml:space="preserve">През 2024 г. са предприети действия за модернизиране и актуализиране на политиката за демографското развитие. Изготвено и одобрено беше предложение на МТСП за дейности в сферата на демографската политика по Инструмента за техническа подкрепа на ЕК. Предложението е на тема „Идентифициране на иновативни подходи за адресиране на негативните демографски тенденции в България“. Основните дейности по техническата помощ стартираха през месец юни 2024 г. и ще бъдат реализирани за период от 24 месеца, като една от тях е извършването на междинна оценка на изпълнението на Актуализираната стратегия за демографско развитие на населението на Република България (2012-2030 г.). </w:t>
      </w:r>
    </w:p>
    <w:p w:rsidR="00D95FC6" w:rsidRPr="00F414DF" w:rsidRDefault="00D95FC6" w:rsidP="00EB3B7A">
      <w:pPr>
        <w:spacing w:before="0" w:after="0"/>
        <w:contextualSpacing/>
        <w:jc w:val="both"/>
        <w:rPr>
          <w:sz w:val="24"/>
          <w:szCs w:val="24"/>
        </w:rPr>
      </w:pPr>
      <w:r w:rsidRPr="00D95FC6">
        <w:rPr>
          <w:sz w:val="24"/>
          <w:szCs w:val="24"/>
        </w:rPr>
        <w:t xml:space="preserve">Приоритетите в </w:t>
      </w:r>
      <w:r w:rsidRPr="00D95FC6">
        <w:rPr>
          <w:i/>
          <w:sz w:val="24"/>
          <w:szCs w:val="24"/>
        </w:rPr>
        <w:t>областта на социалната икономика и корпоративната социална отговорност</w:t>
      </w:r>
      <w:r w:rsidRPr="00D95FC6">
        <w:rPr>
          <w:sz w:val="24"/>
          <w:szCs w:val="24"/>
        </w:rPr>
        <w:t xml:space="preserve"> се реализират в изпълнение на Националната концепция за социална икономика, Закона за предприятията на социалната и солидарна икономика и подзаконовата нормативна уредба</w:t>
      </w:r>
      <w:r>
        <w:rPr>
          <w:sz w:val="24"/>
          <w:szCs w:val="24"/>
        </w:rPr>
        <w:t>.</w:t>
      </w:r>
    </w:p>
    <w:p w:rsidR="00EB3B7A" w:rsidRPr="00F414DF" w:rsidRDefault="00EB3B7A" w:rsidP="00EB3B7A">
      <w:pPr>
        <w:spacing w:before="0" w:after="0"/>
        <w:contextualSpacing/>
        <w:jc w:val="both"/>
        <w:rPr>
          <w:sz w:val="24"/>
          <w:szCs w:val="24"/>
        </w:rPr>
      </w:pPr>
      <w:r w:rsidRPr="00F414DF">
        <w:rPr>
          <w:sz w:val="24"/>
          <w:szCs w:val="24"/>
        </w:rPr>
        <w:t>•</w:t>
      </w:r>
      <w:r w:rsidRPr="00F414DF">
        <w:rPr>
          <w:sz w:val="24"/>
          <w:szCs w:val="24"/>
        </w:rPr>
        <w:tab/>
      </w:r>
      <w:r w:rsidR="00D95FC6" w:rsidRPr="00D95FC6">
        <w:rPr>
          <w:sz w:val="24"/>
          <w:szCs w:val="24"/>
        </w:rPr>
        <w:t>Разработена и утвърдена е Политика за корпоративна социална отговорност, която е в отговор на динамично развиващата се европейска нормативна уредба в областта и се явява естествено продължение на вече приключила изпълнението си, Стратегия за корпоративна социална отговорност 2019-2023 г.</w:t>
      </w:r>
    </w:p>
    <w:p w:rsidR="00EB3B7A" w:rsidRPr="00F414DF" w:rsidRDefault="00EB3B7A" w:rsidP="00EB3B7A">
      <w:pPr>
        <w:spacing w:before="0" w:after="0"/>
        <w:contextualSpacing/>
        <w:jc w:val="both"/>
        <w:rPr>
          <w:sz w:val="24"/>
          <w:szCs w:val="24"/>
        </w:rPr>
      </w:pPr>
      <w:r w:rsidRPr="00F414DF">
        <w:rPr>
          <w:sz w:val="24"/>
          <w:szCs w:val="24"/>
        </w:rPr>
        <w:t>•</w:t>
      </w:r>
      <w:r w:rsidRPr="00F414DF">
        <w:rPr>
          <w:sz w:val="24"/>
          <w:szCs w:val="24"/>
        </w:rPr>
        <w:tab/>
      </w:r>
      <w:r w:rsidR="00D95FC6" w:rsidRPr="00D95FC6">
        <w:rPr>
          <w:sz w:val="24"/>
          <w:szCs w:val="24"/>
        </w:rPr>
        <w:t>С Протоколно Решение на МС от заседание проведено на 15.10.2024 г. е приет План за действие по социална икономика 2024-2025 г.</w:t>
      </w:r>
      <w:r w:rsidRPr="00F414DF">
        <w:rPr>
          <w:sz w:val="24"/>
          <w:szCs w:val="24"/>
        </w:rPr>
        <w:t xml:space="preserve"> </w:t>
      </w:r>
    </w:p>
    <w:p w:rsidR="00D95FC6" w:rsidRDefault="00EB3B7A" w:rsidP="00EB3B7A">
      <w:pPr>
        <w:spacing w:before="0" w:after="0"/>
        <w:contextualSpacing/>
        <w:jc w:val="both"/>
        <w:rPr>
          <w:sz w:val="24"/>
          <w:szCs w:val="24"/>
        </w:rPr>
      </w:pPr>
      <w:r w:rsidRPr="00F414DF">
        <w:rPr>
          <w:sz w:val="24"/>
          <w:szCs w:val="24"/>
        </w:rPr>
        <w:t>•</w:t>
      </w:r>
      <w:r w:rsidRPr="00F414DF">
        <w:rPr>
          <w:sz w:val="24"/>
          <w:szCs w:val="24"/>
        </w:rPr>
        <w:tab/>
      </w:r>
      <w:r w:rsidR="00D95FC6" w:rsidRPr="00D95FC6">
        <w:rPr>
          <w:sz w:val="24"/>
          <w:szCs w:val="24"/>
        </w:rPr>
        <w:t>През 2024 г. са проведени 36 заседания на Комисията за разглеждане на заявленията за вписване в и заличаване от Регистъра на социалните предприятия (Регистъра). Разгледани са постъпили документи за вписване в Регистъра от 107 субекти на социалната и солидарна икономика, като на 86 са издадени заповеди за вписване, 14 заповеди за отказ от вписване и 86 Удостоверения за вписване. Към 31.12.2024 г. в Регистъра са вписани 129 социални предприятия.</w:t>
      </w:r>
    </w:p>
    <w:p w:rsidR="00D95FC6" w:rsidRDefault="00CD7F11" w:rsidP="00EB3B7A">
      <w:pPr>
        <w:spacing w:before="0" w:after="0"/>
        <w:contextualSpacing/>
        <w:jc w:val="both"/>
        <w:rPr>
          <w:sz w:val="24"/>
          <w:szCs w:val="24"/>
        </w:rPr>
      </w:pPr>
      <w:r w:rsidRPr="00CD7F11">
        <w:rPr>
          <w:sz w:val="24"/>
          <w:szCs w:val="24"/>
        </w:rPr>
        <w:t>•</w:t>
      </w:r>
      <w:r w:rsidRPr="00CD7F11">
        <w:rPr>
          <w:sz w:val="24"/>
          <w:szCs w:val="24"/>
        </w:rPr>
        <w:tab/>
        <w:t>През м. април 2024 г., по време на ХХVII Международен панаир на учебно-тренировъчните фирми ТФ ФЕСТ 2024 „Млад предприемач” в Международен панаир-Пловдив, е организиран и проведен „Конкурс за социална иновация“. На победителите от учебно-тренировъчните фирми са връчени награди и грамоти за отличното представяне. По време на панаира е проведено обучение за връзката между социалното предприемачество и корпоративната социална отговорност на преподаватели от професионалните гимназии с икономическа насоченост от страната</w:t>
      </w:r>
    </w:p>
    <w:p w:rsidR="00CD7F11" w:rsidRPr="00CD7F11" w:rsidRDefault="00CD7F11" w:rsidP="00CD7F11">
      <w:pPr>
        <w:spacing w:before="0" w:after="0"/>
        <w:contextualSpacing/>
        <w:jc w:val="both"/>
        <w:rPr>
          <w:sz w:val="24"/>
          <w:szCs w:val="24"/>
        </w:rPr>
      </w:pPr>
      <w:r w:rsidRPr="00CD7F11">
        <w:rPr>
          <w:sz w:val="24"/>
          <w:szCs w:val="24"/>
        </w:rPr>
        <w:t>През годината е даден съществен принос в подготовката и участието на представители на Министерството в няколко международни събития в областта на социалната и солидарна икономика и в други области на политиките на МТСП:</w:t>
      </w:r>
    </w:p>
    <w:p w:rsidR="00CD7F11" w:rsidRPr="00CD7F11" w:rsidRDefault="00CD7F11" w:rsidP="00CD7F11">
      <w:pPr>
        <w:spacing w:before="0" w:after="0"/>
        <w:contextualSpacing/>
        <w:jc w:val="both"/>
        <w:rPr>
          <w:sz w:val="24"/>
          <w:szCs w:val="24"/>
        </w:rPr>
      </w:pPr>
      <w:r w:rsidRPr="00CD7F11">
        <w:rPr>
          <w:sz w:val="24"/>
          <w:szCs w:val="24"/>
        </w:rPr>
        <w:t>•</w:t>
      </w:r>
      <w:r w:rsidRPr="00CD7F11">
        <w:rPr>
          <w:sz w:val="24"/>
          <w:szCs w:val="24"/>
        </w:rPr>
        <w:tab/>
        <w:t>Конференция на европейските министри, отговарящи за социалната икономика „Социалната икономика в основата на прехода”, 12-13 февруари 2024 г., Лиеж, Белгия и подписването на „Пътна карта от Лиеж“ за развитието на социалната икономика;</w:t>
      </w:r>
    </w:p>
    <w:p w:rsidR="00CD7F11" w:rsidRPr="00CD7F11" w:rsidRDefault="00CD7F11" w:rsidP="00CD7F11">
      <w:pPr>
        <w:spacing w:before="0" w:after="0"/>
        <w:contextualSpacing/>
        <w:jc w:val="both"/>
        <w:rPr>
          <w:sz w:val="24"/>
          <w:szCs w:val="24"/>
        </w:rPr>
      </w:pPr>
      <w:r w:rsidRPr="00CD7F11">
        <w:rPr>
          <w:sz w:val="24"/>
          <w:szCs w:val="24"/>
        </w:rPr>
        <w:t>•</w:t>
      </w:r>
      <w:r w:rsidRPr="00CD7F11">
        <w:rPr>
          <w:sz w:val="24"/>
          <w:szCs w:val="24"/>
        </w:rPr>
        <w:tab/>
        <w:t>112-та сесия на Международната конференция на труда, 3-14 юни 2024г</w:t>
      </w:r>
    </w:p>
    <w:p w:rsidR="00D95FC6" w:rsidRDefault="00CD7F11" w:rsidP="00CD7F11">
      <w:pPr>
        <w:spacing w:before="0" w:after="0"/>
        <w:contextualSpacing/>
        <w:jc w:val="both"/>
        <w:rPr>
          <w:sz w:val="24"/>
          <w:szCs w:val="24"/>
        </w:rPr>
      </w:pPr>
      <w:r w:rsidRPr="00CD7F11">
        <w:rPr>
          <w:sz w:val="24"/>
          <w:szCs w:val="24"/>
        </w:rPr>
        <w:t>•</w:t>
      </w:r>
      <w:r w:rsidRPr="00CD7F11">
        <w:rPr>
          <w:sz w:val="24"/>
          <w:szCs w:val="24"/>
        </w:rPr>
        <w:tab/>
      </w:r>
      <w:proofErr w:type="spellStart"/>
      <w:r w:rsidRPr="00CD7F11">
        <w:rPr>
          <w:sz w:val="24"/>
          <w:szCs w:val="24"/>
        </w:rPr>
        <w:t>Green</w:t>
      </w:r>
      <w:proofErr w:type="spellEnd"/>
      <w:r w:rsidRPr="00CD7F11">
        <w:rPr>
          <w:sz w:val="24"/>
          <w:szCs w:val="24"/>
        </w:rPr>
        <w:t xml:space="preserve"> </w:t>
      </w:r>
      <w:proofErr w:type="spellStart"/>
      <w:r w:rsidRPr="00CD7F11">
        <w:rPr>
          <w:sz w:val="24"/>
          <w:szCs w:val="24"/>
        </w:rPr>
        <w:t>Transition</w:t>
      </w:r>
      <w:proofErr w:type="spellEnd"/>
      <w:r w:rsidRPr="00CD7F11">
        <w:rPr>
          <w:sz w:val="24"/>
          <w:szCs w:val="24"/>
        </w:rPr>
        <w:t xml:space="preserve"> </w:t>
      </w:r>
      <w:proofErr w:type="spellStart"/>
      <w:r w:rsidRPr="00CD7F11">
        <w:rPr>
          <w:sz w:val="24"/>
          <w:szCs w:val="24"/>
        </w:rPr>
        <w:t>Forum</w:t>
      </w:r>
      <w:proofErr w:type="spellEnd"/>
      <w:r w:rsidRPr="00CD7F11">
        <w:rPr>
          <w:sz w:val="24"/>
          <w:szCs w:val="24"/>
        </w:rPr>
        <w:t xml:space="preserve"> 4.0, 26-28 юни  </w:t>
      </w:r>
    </w:p>
    <w:p w:rsidR="00EB3B7A" w:rsidRPr="00CD7F11" w:rsidRDefault="00CD7F11" w:rsidP="00CD7F11">
      <w:pPr>
        <w:spacing w:before="0" w:after="0"/>
        <w:contextualSpacing/>
        <w:jc w:val="both"/>
        <w:rPr>
          <w:sz w:val="24"/>
          <w:szCs w:val="24"/>
          <w:lang w:val="en-US"/>
        </w:rPr>
      </w:pPr>
      <w:r w:rsidRPr="00CD7F11">
        <w:rPr>
          <w:sz w:val="24"/>
          <w:szCs w:val="24"/>
        </w:rPr>
        <w:lastRenderedPageBreak/>
        <w:t>Подписано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Pr>
          <w:sz w:val="24"/>
          <w:szCs w:val="24"/>
          <w:lang w:val="en-US"/>
        </w:rPr>
        <w:t xml:space="preserve"> </w:t>
      </w:r>
      <w:r w:rsidRPr="00CD7F11">
        <w:rPr>
          <w:sz w:val="24"/>
          <w:szCs w:val="24"/>
        </w:rPr>
        <w:t>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sidR="00EB3B7A" w:rsidRPr="00F414DF">
        <w:rPr>
          <w:sz w:val="24"/>
          <w:szCs w:val="24"/>
        </w:rPr>
        <w:t>.</w:t>
      </w:r>
    </w:p>
    <w:p w:rsidR="00CD7F11" w:rsidRDefault="00CD7F11" w:rsidP="00CD7F11">
      <w:pPr>
        <w:spacing w:before="0" w:after="0"/>
        <w:contextualSpacing/>
        <w:jc w:val="both"/>
        <w:rPr>
          <w:sz w:val="24"/>
          <w:szCs w:val="24"/>
        </w:rPr>
      </w:pPr>
      <w:r w:rsidRPr="00CD7F11">
        <w:rPr>
          <w:sz w:val="24"/>
          <w:szCs w:val="24"/>
        </w:rPr>
        <w:t>В рамките на проект П 41, част от НПВУ, през годината са проведени общо 84 събития (базари, кръгли маси, семинари, обучения и др.), на които са присъствали 2</w:t>
      </w:r>
      <w:r>
        <w:rPr>
          <w:sz w:val="24"/>
          <w:szCs w:val="24"/>
          <w:lang w:val="en-US"/>
        </w:rPr>
        <w:t> </w:t>
      </w:r>
      <w:r w:rsidRPr="00CD7F11">
        <w:rPr>
          <w:sz w:val="24"/>
          <w:szCs w:val="24"/>
        </w:rPr>
        <w:t xml:space="preserve">024 човека. </w:t>
      </w:r>
    </w:p>
    <w:p w:rsidR="00CD7F11" w:rsidRDefault="00CD7F11" w:rsidP="00CD7F11">
      <w:pPr>
        <w:spacing w:before="0" w:after="0"/>
        <w:contextualSpacing/>
        <w:jc w:val="both"/>
        <w:rPr>
          <w:sz w:val="24"/>
          <w:szCs w:val="24"/>
        </w:rPr>
      </w:pPr>
      <w:r w:rsidRPr="00CD7F11">
        <w:rPr>
          <w:sz w:val="24"/>
          <w:szCs w:val="24"/>
        </w:rPr>
        <w:t xml:space="preserve">Регионалните центрове за развитие на социалната икономика са съдействали за сключването на 5 (пет) споразумения за изграждане на мрежи за сътрудничество между субекти на социалната и солидарна икономика. Създадените партньорски мрежи целят </w:t>
      </w:r>
      <w:proofErr w:type="spellStart"/>
      <w:r w:rsidRPr="00CD7F11">
        <w:rPr>
          <w:sz w:val="24"/>
          <w:szCs w:val="24"/>
        </w:rPr>
        <w:t>промотиране</w:t>
      </w:r>
      <w:proofErr w:type="spellEnd"/>
      <w:r w:rsidRPr="00CD7F11">
        <w:rPr>
          <w:sz w:val="24"/>
          <w:szCs w:val="24"/>
        </w:rPr>
        <w:t xml:space="preserve"> и популяризиране на марката „Продукт на социално предприятие“, надграждане и модернизиране на репутацията, въздействието, ползите и предимствата му, включително маркетингово, престижно, бизнес отговорно и интегриране на световни тенденции в предприемаческата дейност; организиране на съвместни събития, дискусии, форуми, конференции, обучения; създаване на съвместни инициативи и проекти, които да адресират общи социални предизвикателства. Министерство на труда и социалната политика сключи Споразумения за сътрудничество с Пловдивски университет „Паисий Хилендарски“ и  друго, с Югозападен университет „Неофит Рилски“.</w:t>
      </w:r>
    </w:p>
    <w:p w:rsidR="00CD7F11" w:rsidRDefault="00CD7F11" w:rsidP="00CD7F11">
      <w:pPr>
        <w:spacing w:before="0" w:after="0"/>
        <w:contextualSpacing/>
        <w:jc w:val="both"/>
        <w:rPr>
          <w:sz w:val="24"/>
          <w:szCs w:val="24"/>
        </w:rPr>
      </w:pPr>
      <w:r w:rsidRPr="00CD7F11">
        <w:rPr>
          <w:sz w:val="24"/>
          <w:szCs w:val="24"/>
        </w:rPr>
        <w:t xml:space="preserve">По инициатива на екипа на Регионалния център за развитие на социалната икономика в Североизточна България, Общинският съвет на Варна създаде Фонд за подкрепа на социалните предприятия с бюджет от 150 000 лв. Със средствата ще се финансират проекти на социални предприятия, регистрирани в регистъра на Министерство на труда и социалната политика. </w:t>
      </w:r>
    </w:p>
    <w:p w:rsidR="00EB3B7A" w:rsidRDefault="00CD7F11" w:rsidP="00CD7F11">
      <w:pPr>
        <w:spacing w:before="0" w:after="0"/>
        <w:contextualSpacing/>
        <w:jc w:val="both"/>
        <w:rPr>
          <w:sz w:val="24"/>
          <w:szCs w:val="24"/>
        </w:rPr>
      </w:pPr>
      <w:r w:rsidRPr="00CD7F11">
        <w:rPr>
          <w:sz w:val="24"/>
          <w:szCs w:val="24"/>
        </w:rPr>
        <w:t>През 2024 г. в резултат от работата на служителите в регионалните центрове са проведени 4 517 консултации с институции, физически и юридически лица</w:t>
      </w:r>
      <w:r w:rsidR="00EB3B7A" w:rsidRPr="00F414DF">
        <w:rPr>
          <w:sz w:val="24"/>
          <w:szCs w:val="24"/>
        </w:rPr>
        <w:t>.</w:t>
      </w:r>
    </w:p>
    <w:p w:rsidR="00CD7F11" w:rsidRPr="00CD7F11" w:rsidRDefault="00CD7F11" w:rsidP="00CD7F11">
      <w:pPr>
        <w:spacing w:before="0" w:after="0"/>
        <w:contextualSpacing/>
        <w:jc w:val="both"/>
        <w:rPr>
          <w:sz w:val="24"/>
          <w:szCs w:val="24"/>
        </w:rPr>
      </w:pPr>
      <w:r w:rsidRPr="00CD7F11">
        <w:rPr>
          <w:sz w:val="24"/>
          <w:szCs w:val="24"/>
        </w:rPr>
        <w:t>Със Заповед РД-01-344/05.12.2024 г. на министъра на труда и социалната политика е утвърдена „Рамкова политика на Министерството на труда и социалната политика за насърчаване развитието на корпоративната социална отговорност и устойчивост за периода 2025 – 2027 г.“ и План за изпълнение за периода 2025–2026 г. на „Рамковата политика за насърчаване развитието на Корпоративна социална отговорност и устойчивост“.</w:t>
      </w:r>
    </w:p>
    <w:p w:rsidR="00EB3B7A" w:rsidRDefault="00CD7F11" w:rsidP="00CD7F11">
      <w:pPr>
        <w:spacing w:before="0" w:after="0"/>
        <w:contextualSpacing/>
        <w:jc w:val="both"/>
        <w:rPr>
          <w:sz w:val="24"/>
          <w:szCs w:val="24"/>
        </w:rPr>
      </w:pPr>
      <w:r w:rsidRPr="00CD7F11">
        <w:rPr>
          <w:sz w:val="24"/>
          <w:szCs w:val="24"/>
        </w:rPr>
        <w:t>Създадена е организация (съвместно с МИР) за изработване на българската позиция във връзка с Директивата относно дължимата грижа на дружествата във връзка с устойчивостта (</w:t>
      </w:r>
      <w:proofErr w:type="spellStart"/>
      <w:r w:rsidRPr="00CD7F11">
        <w:rPr>
          <w:sz w:val="24"/>
          <w:szCs w:val="24"/>
        </w:rPr>
        <w:t>Due</w:t>
      </w:r>
      <w:proofErr w:type="spellEnd"/>
      <w:r w:rsidRPr="00CD7F11">
        <w:rPr>
          <w:sz w:val="24"/>
          <w:szCs w:val="24"/>
        </w:rPr>
        <w:t xml:space="preserve"> </w:t>
      </w:r>
      <w:proofErr w:type="spellStart"/>
      <w:r w:rsidRPr="00CD7F11">
        <w:rPr>
          <w:sz w:val="24"/>
          <w:szCs w:val="24"/>
        </w:rPr>
        <w:t>Diligence</w:t>
      </w:r>
      <w:proofErr w:type="spellEnd"/>
      <w:r w:rsidRPr="00CD7F11">
        <w:rPr>
          <w:sz w:val="24"/>
          <w:szCs w:val="24"/>
        </w:rPr>
        <w:t>) и за изменение на Директива (ЕС) 2019/1937. Текстът на Директивата е окончателно приет на 13 юни 2024 г. и е публикуван в официалния вестник на Европейския съюз, като срокът на транспонирането ѝ в българското законодателство е две години. Съветът по европейски въпроси разпредели водещо ведомство при транспониране на Директивата да бъде МТСП съвместно с МИР.</w:t>
      </w:r>
    </w:p>
    <w:p w:rsidR="00CD7F11" w:rsidRDefault="00CD7F11" w:rsidP="00CD7F11">
      <w:pPr>
        <w:spacing w:before="0" w:after="0"/>
        <w:contextualSpacing/>
        <w:jc w:val="both"/>
        <w:rPr>
          <w:sz w:val="24"/>
          <w:szCs w:val="24"/>
        </w:rPr>
      </w:pPr>
      <w:r w:rsidRPr="00CD7F11">
        <w:rPr>
          <w:sz w:val="24"/>
          <w:szCs w:val="24"/>
        </w:rPr>
        <w:t xml:space="preserve">Експерти от </w:t>
      </w:r>
      <w:r>
        <w:rPr>
          <w:sz w:val="24"/>
          <w:szCs w:val="24"/>
        </w:rPr>
        <w:t>МТСП</w:t>
      </w:r>
      <w:r w:rsidRPr="00CD7F11">
        <w:rPr>
          <w:sz w:val="24"/>
          <w:szCs w:val="24"/>
        </w:rPr>
        <w:t xml:space="preserve"> участваха в техническата мисия на ОИСР, на 23 април 2024г., в качеството на член на Работната група към Национална контактна точка на България за отговорно бизнес поведение и представяне на проекта за стратегически документ за насърчаване развитието на корпоративната социална отговорност в страната. В тази връзка бе изготвена позиция, отговори на въпроси и пояснения относно „Проект на доклад за оценка на присъединяването на България с доказателства за ангажираност и ефективни мерки за насърчаване на отговорно бизнес поведение (политики за ОБП) в България“ в областта на корпоративната социална отговорност.</w:t>
      </w:r>
    </w:p>
    <w:p w:rsidR="00CD7F11" w:rsidRDefault="00CD7F11" w:rsidP="00CD7F11">
      <w:pPr>
        <w:spacing w:before="0" w:after="0"/>
        <w:contextualSpacing/>
        <w:jc w:val="both"/>
        <w:rPr>
          <w:sz w:val="24"/>
          <w:szCs w:val="24"/>
        </w:rPr>
      </w:pPr>
      <w:r w:rsidRPr="00CD7F11">
        <w:rPr>
          <w:sz w:val="24"/>
          <w:szCs w:val="24"/>
        </w:rPr>
        <w:lastRenderedPageBreak/>
        <w:t>През първото полугодие е проведена церемония за връчване на Годишната награда за социално отговорен стратегически мениджмънт 2023 на МТСП. Отличени са повече от 40 проекта в категориите „Общество“, „Човешки ресурси“ и „Околна среда“</w:t>
      </w:r>
      <w:r>
        <w:rPr>
          <w:sz w:val="24"/>
          <w:szCs w:val="24"/>
        </w:rPr>
        <w:t>.</w:t>
      </w:r>
    </w:p>
    <w:p w:rsidR="00CD7F11" w:rsidRDefault="00CD7F11" w:rsidP="00CD7F11">
      <w:pPr>
        <w:spacing w:before="0" w:after="0"/>
        <w:contextualSpacing/>
        <w:jc w:val="both"/>
        <w:rPr>
          <w:sz w:val="24"/>
          <w:szCs w:val="24"/>
        </w:rPr>
      </w:pPr>
    </w:p>
    <w:p w:rsidR="00EB3B7A" w:rsidRPr="00F414DF" w:rsidRDefault="00EB3B7A" w:rsidP="00EB3B7A">
      <w:pPr>
        <w:spacing w:line="276" w:lineRule="auto"/>
        <w:ind w:left="720" w:firstLine="0"/>
        <w:contextualSpacing/>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2"/>
        <w:gridCol w:w="1265"/>
        <w:gridCol w:w="1646"/>
        <w:gridCol w:w="1169"/>
      </w:tblGrid>
      <w:tr w:rsidR="00EB3B7A" w:rsidRPr="008F13AA" w:rsidTr="004100D4">
        <w:trPr>
          <w:trHeight w:val="255"/>
          <w:jc w:val="center"/>
        </w:trPr>
        <w:tc>
          <w:tcPr>
            <w:tcW w:w="4980" w:type="dxa"/>
            <w:shd w:val="clear" w:color="auto" w:fill="BFBFBF" w:themeFill="background1" w:themeFillShade="BF"/>
            <w:vAlign w:val="center"/>
          </w:tcPr>
          <w:p w:rsidR="00EB3B7A" w:rsidRPr="00F414DF" w:rsidRDefault="00EB3B7A" w:rsidP="00261B1B">
            <w:pPr>
              <w:spacing w:before="0" w:after="0"/>
              <w:ind w:firstLine="0"/>
              <w:jc w:val="center"/>
              <w:rPr>
                <w:rFonts w:eastAsiaTheme="minorHAnsi"/>
                <w:b/>
                <w:iCs/>
                <w:lang w:eastAsia="en-US"/>
              </w:rPr>
            </w:pPr>
            <w:r w:rsidRPr="00F414DF">
              <w:rPr>
                <w:rFonts w:eastAsiaTheme="minorHAnsi"/>
                <w:b/>
                <w:iCs/>
                <w:lang w:eastAsia="en-US"/>
              </w:rPr>
              <w:t>Политика в областта на жизненото равнище, доходите и демографското развитие</w:t>
            </w:r>
          </w:p>
        </w:tc>
        <w:tc>
          <w:tcPr>
            <w:tcW w:w="1265" w:type="dxa"/>
            <w:vMerge w:val="restart"/>
            <w:shd w:val="clear" w:color="auto" w:fill="BFBFBF" w:themeFill="background1" w:themeFillShade="BF"/>
            <w:vAlign w:val="center"/>
          </w:tcPr>
          <w:p w:rsidR="00EB3B7A" w:rsidRPr="00F414DF" w:rsidRDefault="00EB3B7A" w:rsidP="00261B1B">
            <w:pPr>
              <w:spacing w:before="0" w:after="200" w:line="276" w:lineRule="auto"/>
              <w:ind w:firstLine="0"/>
              <w:jc w:val="center"/>
              <w:rPr>
                <w:rFonts w:eastAsiaTheme="minorHAnsi"/>
                <w:lang w:eastAsia="en-US"/>
              </w:rPr>
            </w:pPr>
            <w:r w:rsidRPr="00F414DF">
              <w:rPr>
                <w:rFonts w:eastAsiaTheme="minorHAnsi"/>
                <w:b/>
                <w:bCs/>
                <w:lang w:eastAsia="en-US"/>
              </w:rPr>
              <w:t>Мерна единица</w:t>
            </w:r>
          </w:p>
        </w:tc>
        <w:tc>
          <w:tcPr>
            <w:tcW w:w="1646" w:type="dxa"/>
            <w:vMerge w:val="restart"/>
            <w:shd w:val="clear" w:color="auto" w:fill="BFBFBF" w:themeFill="background1" w:themeFillShade="BF"/>
            <w:vAlign w:val="center"/>
          </w:tcPr>
          <w:p w:rsidR="00CD7F11" w:rsidRDefault="00EB3B7A" w:rsidP="00CD7F11">
            <w:pPr>
              <w:spacing w:before="0" w:after="0" w:line="276" w:lineRule="auto"/>
              <w:ind w:firstLine="0"/>
              <w:jc w:val="center"/>
              <w:rPr>
                <w:rFonts w:eastAsiaTheme="minorHAnsi"/>
                <w:b/>
                <w:bCs/>
                <w:iCs/>
                <w:lang w:eastAsia="en-US"/>
              </w:rPr>
            </w:pPr>
            <w:r w:rsidRPr="00F414DF">
              <w:rPr>
                <w:rFonts w:eastAsiaTheme="minorHAnsi"/>
                <w:b/>
                <w:bCs/>
                <w:iCs/>
                <w:lang w:eastAsia="en-US"/>
              </w:rPr>
              <w:t xml:space="preserve">Целева стойност </w:t>
            </w:r>
          </w:p>
          <w:p w:rsidR="00EB3B7A" w:rsidRPr="00F414DF" w:rsidRDefault="00EB3B7A" w:rsidP="00CD7F11">
            <w:pPr>
              <w:spacing w:before="0" w:after="0" w:line="276" w:lineRule="auto"/>
              <w:ind w:firstLine="0"/>
              <w:jc w:val="center"/>
              <w:rPr>
                <w:rFonts w:eastAsiaTheme="minorHAnsi"/>
                <w:b/>
                <w:bCs/>
                <w:lang w:eastAsia="en-US"/>
              </w:rPr>
            </w:pPr>
            <w:r w:rsidRPr="00F414DF">
              <w:rPr>
                <w:rFonts w:eastAsiaTheme="minorHAnsi"/>
                <w:b/>
                <w:bCs/>
                <w:iCs/>
                <w:lang w:eastAsia="en-US"/>
              </w:rPr>
              <w:t>за 202</w:t>
            </w:r>
            <w:r w:rsidR="00CD7F11">
              <w:rPr>
                <w:rFonts w:eastAsiaTheme="minorHAnsi"/>
                <w:b/>
                <w:bCs/>
                <w:iCs/>
                <w:lang w:eastAsia="en-US"/>
              </w:rPr>
              <w:t>4</w:t>
            </w:r>
            <w:r w:rsidRPr="00F414DF">
              <w:rPr>
                <w:rFonts w:eastAsiaTheme="minorHAnsi"/>
                <w:b/>
                <w:bCs/>
                <w:iCs/>
                <w:lang w:eastAsia="en-US"/>
              </w:rPr>
              <w:t xml:space="preserve"> г.</w:t>
            </w:r>
          </w:p>
        </w:tc>
        <w:tc>
          <w:tcPr>
            <w:tcW w:w="1169" w:type="dxa"/>
            <w:vMerge w:val="restart"/>
            <w:shd w:val="clear" w:color="auto" w:fill="BFBFBF" w:themeFill="background1" w:themeFillShade="BF"/>
            <w:vAlign w:val="center"/>
          </w:tcPr>
          <w:p w:rsidR="00EB3B7A" w:rsidRPr="00F414DF" w:rsidRDefault="00EB3B7A" w:rsidP="00CD7F11">
            <w:pPr>
              <w:spacing w:before="0" w:after="0" w:line="276" w:lineRule="auto"/>
              <w:ind w:firstLine="0"/>
              <w:jc w:val="center"/>
              <w:rPr>
                <w:rFonts w:eastAsiaTheme="minorHAnsi"/>
                <w:b/>
                <w:bCs/>
                <w:lang w:eastAsia="en-US"/>
              </w:rPr>
            </w:pPr>
            <w:r w:rsidRPr="00F414DF">
              <w:rPr>
                <w:rFonts w:eastAsiaTheme="minorHAnsi"/>
                <w:b/>
                <w:bCs/>
                <w:iCs/>
                <w:lang w:eastAsia="en-US"/>
              </w:rPr>
              <w:t>Отчет за 202</w:t>
            </w:r>
            <w:r w:rsidR="00CD7F11">
              <w:rPr>
                <w:rFonts w:eastAsiaTheme="minorHAnsi"/>
                <w:b/>
                <w:bCs/>
                <w:iCs/>
                <w:lang w:eastAsia="en-US"/>
              </w:rPr>
              <w:t>4</w:t>
            </w:r>
            <w:r w:rsidRPr="00F414DF">
              <w:rPr>
                <w:rFonts w:eastAsiaTheme="minorHAnsi"/>
                <w:b/>
                <w:bCs/>
                <w:iCs/>
                <w:lang w:eastAsia="en-US"/>
              </w:rPr>
              <w:t xml:space="preserve"> г.</w:t>
            </w:r>
          </w:p>
        </w:tc>
      </w:tr>
      <w:tr w:rsidR="00EB3B7A" w:rsidRPr="008F13AA" w:rsidTr="004100D4">
        <w:trPr>
          <w:trHeight w:val="450"/>
          <w:jc w:val="center"/>
        </w:trPr>
        <w:tc>
          <w:tcPr>
            <w:tcW w:w="4980" w:type="dxa"/>
            <w:shd w:val="clear" w:color="auto" w:fill="BFBFBF" w:themeFill="background1" w:themeFillShade="BF"/>
            <w:vAlign w:val="center"/>
          </w:tcPr>
          <w:p w:rsidR="00EB3B7A" w:rsidRPr="00F414DF" w:rsidRDefault="00EB3B7A" w:rsidP="00261B1B">
            <w:pPr>
              <w:spacing w:before="0" w:after="200" w:line="276" w:lineRule="auto"/>
              <w:ind w:firstLine="0"/>
              <w:jc w:val="center"/>
              <w:rPr>
                <w:rFonts w:eastAsiaTheme="minorHAnsi"/>
                <w:bCs/>
                <w:lang w:eastAsia="en-US"/>
              </w:rPr>
            </w:pPr>
            <w:r w:rsidRPr="00F414DF">
              <w:rPr>
                <w:rFonts w:eastAsiaTheme="minorHAnsi"/>
                <w:bCs/>
                <w:lang w:eastAsia="en-US"/>
              </w:rPr>
              <w:t>Наименование на ключовите индикатори</w:t>
            </w:r>
          </w:p>
        </w:tc>
        <w:tc>
          <w:tcPr>
            <w:tcW w:w="1265" w:type="dxa"/>
            <w:vMerge/>
            <w:shd w:val="clear" w:color="auto" w:fill="BFBFBF" w:themeFill="background1" w:themeFillShade="BF"/>
            <w:vAlign w:val="center"/>
          </w:tcPr>
          <w:p w:rsidR="00EB3B7A" w:rsidRPr="00F414DF" w:rsidRDefault="00EB3B7A" w:rsidP="00261B1B">
            <w:pPr>
              <w:spacing w:before="0" w:after="200" w:line="276" w:lineRule="auto"/>
              <w:ind w:firstLine="0"/>
              <w:jc w:val="center"/>
              <w:rPr>
                <w:rFonts w:eastAsiaTheme="minorHAnsi"/>
                <w:b/>
                <w:bCs/>
                <w:lang w:eastAsia="en-US"/>
              </w:rPr>
            </w:pPr>
          </w:p>
        </w:tc>
        <w:tc>
          <w:tcPr>
            <w:tcW w:w="1646" w:type="dxa"/>
            <w:vMerge/>
            <w:shd w:val="clear" w:color="auto" w:fill="BFBFBF" w:themeFill="background1" w:themeFillShade="BF"/>
            <w:vAlign w:val="center"/>
          </w:tcPr>
          <w:p w:rsidR="00EB3B7A" w:rsidRPr="00F414DF" w:rsidRDefault="00EB3B7A" w:rsidP="00261B1B">
            <w:pPr>
              <w:spacing w:before="0" w:after="0" w:line="276" w:lineRule="auto"/>
              <w:ind w:firstLine="0"/>
              <w:jc w:val="center"/>
              <w:rPr>
                <w:rFonts w:eastAsiaTheme="minorHAnsi"/>
                <w:b/>
                <w:bCs/>
                <w:iCs/>
                <w:lang w:eastAsia="en-US"/>
              </w:rPr>
            </w:pPr>
          </w:p>
        </w:tc>
        <w:tc>
          <w:tcPr>
            <w:tcW w:w="1169" w:type="dxa"/>
            <w:vMerge/>
            <w:shd w:val="clear" w:color="auto" w:fill="BFBFBF" w:themeFill="background1" w:themeFillShade="BF"/>
            <w:vAlign w:val="center"/>
          </w:tcPr>
          <w:p w:rsidR="00EB3B7A" w:rsidRPr="00F414DF" w:rsidRDefault="00EB3B7A" w:rsidP="00261B1B">
            <w:pPr>
              <w:spacing w:before="0" w:after="0" w:line="276" w:lineRule="auto"/>
              <w:ind w:firstLine="0"/>
              <w:jc w:val="center"/>
              <w:rPr>
                <w:rFonts w:eastAsiaTheme="minorHAnsi"/>
                <w:b/>
                <w:bCs/>
                <w:iCs/>
                <w:lang w:eastAsia="en-US"/>
              </w:rPr>
            </w:pPr>
          </w:p>
        </w:tc>
      </w:tr>
      <w:tr w:rsidR="00EB3B7A" w:rsidRPr="008F13AA" w:rsidTr="00261B1B">
        <w:trPr>
          <w:trHeight w:val="255"/>
          <w:jc w:val="center"/>
        </w:trPr>
        <w:tc>
          <w:tcPr>
            <w:tcW w:w="4980" w:type="dxa"/>
            <w:tcBorders>
              <w:top w:val="nil"/>
              <w:left w:val="single" w:sz="4" w:space="0" w:color="auto"/>
              <w:bottom w:val="single" w:sz="4" w:space="0" w:color="auto"/>
              <w:right w:val="single" w:sz="4" w:space="0" w:color="auto"/>
            </w:tcBorders>
            <w:shd w:val="clear" w:color="auto" w:fill="auto"/>
          </w:tcPr>
          <w:p w:rsidR="00EB3B7A" w:rsidRPr="00F414DF" w:rsidRDefault="00EB3B7A" w:rsidP="00261B1B">
            <w:pPr>
              <w:autoSpaceDE w:val="0"/>
              <w:autoSpaceDN w:val="0"/>
              <w:adjustRightInd w:val="0"/>
              <w:spacing w:before="0" w:after="0"/>
              <w:ind w:firstLine="0"/>
            </w:pPr>
            <w:r w:rsidRPr="00F414DF">
              <w:t xml:space="preserve">1. Коефициент на </w:t>
            </w:r>
            <w:proofErr w:type="spellStart"/>
            <w:r w:rsidRPr="00F414DF">
              <w:t>Джини</w:t>
            </w:r>
            <w:proofErr w:type="spellEnd"/>
          </w:p>
        </w:tc>
        <w:tc>
          <w:tcPr>
            <w:tcW w:w="1265" w:type="dxa"/>
            <w:tcBorders>
              <w:top w:val="nil"/>
              <w:left w:val="nil"/>
              <w:bottom w:val="single" w:sz="4" w:space="0" w:color="auto"/>
              <w:right w:val="single" w:sz="4" w:space="0" w:color="auto"/>
            </w:tcBorders>
            <w:shd w:val="clear" w:color="auto" w:fill="auto"/>
          </w:tcPr>
          <w:p w:rsidR="00EB3B7A" w:rsidRPr="00F414DF" w:rsidRDefault="00EB3B7A" w:rsidP="00261B1B">
            <w:pPr>
              <w:autoSpaceDE w:val="0"/>
              <w:autoSpaceDN w:val="0"/>
              <w:adjustRightInd w:val="0"/>
              <w:spacing w:before="0" w:after="0"/>
              <w:ind w:firstLine="0"/>
            </w:pPr>
            <w:r w:rsidRPr="00F414DF">
              <w:t>Стойността варира от 0 до 100</w:t>
            </w:r>
          </w:p>
        </w:tc>
        <w:tc>
          <w:tcPr>
            <w:tcW w:w="1646" w:type="dxa"/>
            <w:tcBorders>
              <w:top w:val="single" w:sz="4" w:space="0" w:color="auto"/>
              <w:left w:val="nil"/>
              <w:bottom w:val="single" w:sz="4" w:space="0" w:color="auto"/>
              <w:right w:val="single" w:sz="4" w:space="0" w:color="auto"/>
            </w:tcBorders>
            <w:vAlign w:val="center"/>
          </w:tcPr>
          <w:p w:rsidR="00EB3B7A" w:rsidRPr="00F414DF" w:rsidRDefault="00EB3B7A" w:rsidP="00261B1B">
            <w:pPr>
              <w:autoSpaceDE w:val="0"/>
              <w:autoSpaceDN w:val="0"/>
              <w:adjustRightInd w:val="0"/>
              <w:spacing w:before="0" w:after="0"/>
              <w:ind w:firstLine="0"/>
              <w:jc w:val="center"/>
            </w:pPr>
            <w:r w:rsidRPr="00F414DF">
              <w:t>39,4</w:t>
            </w:r>
          </w:p>
        </w:tc>
        <w:tc>
          <w:tcPr>
            <w:tcW w:w="1169" w:type="dxa"/>
            <w:shd w:val="clear" w:color="auto" w:fill="auto"/>
            <w:vAlign w:val="center"/>
          </w:tcPr>
          <w:p w:rsidR="00EB3B7A" w:rsidRPr="00F414DF" w:rsidRDefault="00EB3B7A" w:rsidP="00774AA2">
            <w:pPr>
              <w:spacing w:before="0" w:after="0"/>
              <w:ind w:firstLine="0"/>
              <w:jc w:val="center"/>
              <w:rPr>
                <w:rFonts w:eastAsiaTheme="minorHAnsi"/>
                <w:lang w:eastAsia="en-US"/>
              </w:rPr>
            </w:pPr>
            <w:r w:rsidRPr="00F414DF">
              <w:rPr>
                <w:rFonts w:eastAsiaTheme="minorHAnsi"/>
                <w:lang w:val="en-US" w:eastAsia="en-US"/>
              </w:rPr>
              <w:t>3</w:t>
            </w:r>
            <w:r w:rsidR="00774AA2">
              <w:rPr>
                <w:rFonts w:eastAsiaTheme="minorHAnsi"/>
                <w:lang w:eastAsia="en-US"/>
              </w:rPr>
              <w:t>7</w:t>
            </w:r>
            <w:r w:rsidRPr="00F414DF">
              <w:rPr>
                <w:rFonts w:eastAsiaTheme="minorHAnsi"/>
                <w:lang w:eastAsia="en-US"/>
              </w:rPr>
              <w:t>,</w:t>
            </w:r>
            <w:r w:rsidR="00774AA2">
              <w:rPr>
                <w:rFonts w:eastAsiaTheme="minorHAnsi"/>
                <w:lang w:eastAsia="en-US"/>
              </w:rPr>
              <w:t>2</w:t>
            </w:r>
          </w:p>
        </w:tc>
      </w:tr>
      <w:tr w:rsidR="00EB3B7A" w:rsidRPr="008F13AA" w:rsidTr="00261B1B">
        <w:trPr>
          <w:trHeight w:val="255"/>
          <w:jc w:val="center"/>
        </w:trPr>
        <w:tc>
          <w:tcPr>
            <w:tcW w:w="4980" w:type="dxa"/>
            <w:shd w:val="clear" w:color="auto" w:fill="auto"/>
          </w:tcPr>
          <w:p w:rsidR="00EB3B7A" w:rsidRPr="00F414DF" w:rsidRDefault="00EB3B7A" w:rsidP="00261B1B">
            <w:pPr>
              <w:autoSpaceDE w:val="0"/>
              <w:autoSpaceDN w:val="0"/>
              <w:adjustRightInd w:val="0"/>
              <w:spacing w:before="0" w:after="0"/>
              <w:ind w:firstLine="0"/>
              <w:rPr>
                <w:rFonts w:eastAsiaTheme="minorHAnsi"/>
                <w:b/>
                <w:bCs/>
                <w:lang w:eastAsia="en-US"/>
              </w:rPr>
            </w:pPr>
            <w:r w:rsidRPr="00F414DF">
              <w:rPr>
                <w:rFonts w:eastAsiaTheme="minorHAnsi"/>
                <w:lang w:eastAsia="en-US"/>
              </w:rPr>
              <w:t xml:space="preserve">2. 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 </w:t>
            </w:r>
          </w:p>
        </w:tc>
        <w:tc>
          <w:tcPr>
            <w:tcW w:w="1265" w:type="dxa"/>
            <w:shd w:val="clear" w:color="auto" w:fill="auto"/>
            <w:vAlign w:val="center"/>
          </w:tcPr>
          <w:p w:rsidR="00EB3B7A" w:rsidRPr="00F414DF" w:rsidRDefault="00EB3B7A" w:rsidP="00261B1B">
            <w:pPr>
              <w:spacing w:before="0" w:after="0"/>
              <w:ind w:firstLine="0"/>
              <w:jc w:val="center"/>
              <w:rPr>
                <w:rFonts w:eastAsiaTheme="minorHAnsi"/>
                <w:b/>
                <w:bCs/>
                <w:lang w:eastAsia="en-US"/>
              </w:rPr>
            </w:pPr>
            <w:r w:rsidRPr="00F414DF">
              <w:rPr>
                <w:rFonts w:eastAsiaTheme="minorHAnsi"/>
                <w:lang w:eastAsia="en-US"/>
              </w:rPr>
              <w:t>брой</w:t>
            </w:r>
          </w:p>
        </w:tc>
        <w:tc>
          <w:tcPr>
            <w:tcW w:w="1646" w:type="dxa"/>
            <w:vAlign w:val="center"/>
          </w:tcPr>
          <w:p w:rsidR="00EB3B7A" w:rsidRPr="00F414DF" w:rsidRDefault="00EB3B7A" w:rsidP="00261B1B">
            <w:pPr>
              <w:spacing w:before="0" w:after="0"/>
              <w:ind w:firstLine="0"/>
              <w:jc w:val="center"/>
              <w:rPr>
                <w:rFonts w:eastAsiaTheme="minorHAnsi"/>
                <w:bCs/>
                <w:lang w:eastAsia="en-US"/>
              </w:rPr>
            </w:pPr>
            <w:r w:rsidRPr="00F414DF">
              <w:rPr>
                <w:rFonts w:eastAsiaTheme="minorHAnsi"/>
                <w:lang w:eastAsia="en-US"/>
              </w:rPr>
              <w:t>1</w:t>
            </w:r>
          </w:p>
        </w:tc>
        <w:tc>
          <w:tcPr>
            <w:tcW w:w="1169" w:type="dxa"/>
            <w:shd w:val="clear" w:color="auto" w:fill="auto"/>
            <w:vAlign w:val="center"/>
          </w:tcPr>
          <w:p w:rsidR="00EB3B7A" w:rsidRPr="00F414DF" w:rsidRDefault="00EB3B7A" w:rsidP="00261B1B">
            <w:pPr>
              <w:spacing w:before="0" w:after="0"/>
              <w:ind w:firstLine="0"/>
              <w:jc w:val="center"/>
              <w:rPr>
                <w:rFonts w:eastAsiaTheme="minorHAnsi"/>
                <w:bCs/>
                <w:lang w:eastAsia="en-US"/>
              </w:rPr>
            </w:pPr>
            <w:r w:rsidRPr="00F414DF">
              <w:rPr>
                <w:rFonts w:eastAsiaTheme="minorHAnsi"/>
                <w:bCs/>
                <w:lang w:eastAsia="en-US"/>
              </w:rPr>
              <w:t>1</w:t>
            </w:r>
          </w:p>
        </w:tc>
      </w:tr>
    </w:tbl>
    <w:p w:rsidR="00EB3B7A" w:rsidRPr="00F414DF" w:rsidRDefault="00EB3B7A" w:rsidP="00EB3B7A">
      <w:pPr>
        <w:spacing w:before="0" w:after="0"/>
        <w:jc w:val="both"/>
        <w:rPr>
          <w:rFonts w:eastAsiaTheme="minorHAnsi"/>
          <w:b/>
          <w:sz w:val="24"/>
          <w:szCs w:val="24"/>
          <w:lang w:eastAsia="en-US"/>
        </w:rPr>
      </w:pPr>
    </w:p>
    <w:p w:rsidR="00EB3B7A" w:rsidRPr="00F414DF" w:rsidRDefault="00EB3B7A" w:rsidP="00EB3B7A">
      <w:pPr>
        <w:spacing w:before="0" w:after="0"/>
        <w:contextualSpacing/>
        <w:jc w:val="both"/>
        <w:rPr>
          <w:sz w:val="24"/>
          <w:szCs w:val="24"/>
        </w:rPr>
      </w:pPr>
      <w:r w:rsidRPr="00F414DF">
        <w:rPr>
          <w:sz w:val="24"/>
          <w:szCs w:val="24"/>
        </w:rPr>
        <w:t>Ключов фактор за осъществяване на политиката е наличието на навременна, пълна и надеждна информация за тенденциите в неравенството на доходите, в т. ч. и от труд; демографското състояние на населението и тенденциите в неговото развитие, за последствията от негативните демографски процеси и за причините, които ги пораждат.</w:t>
      </w:r>
    </w:p>
    <w:p w:rsidR="00EB3B7A" w:rsidRPr="00F414DF" w:rsidRDefault="00EB3B7A" w:rsidP="00EB3B7A">
      <w:pPr>
        <w:spacing w:before="0" w:after="0"/>
        <w:jc w:val="both"/>
        <w:rPr>
          <w:sz w:val="24"/>
          <w:szCs w:val="24"/>
          <w:lang w:val="ru-RU"/>
        </w:rPr>
      </w:pPr>
      <w:r w:rsidRPr="00F414DF">
        <w:rPr>
          <w:i/>
          <w:sz w:val="24"/>
          <w:szCs w:val="24"/>
        </w:rPr>
        <w:t xml:space="preserve">Коефициентът на </w:t>
      </w:r>
      <w:proofErr w:type="spellStart"/>
      <w:r w:rsidRPr="00F414DF">
        <w:rPr>
          <w:i/>
          <w:sz w:val="24"/>
          <w:szCs w:val="24"/>
        </w:rPr>
        <w:t>Джини</w:t>
      </w:r>
      <w:proofErr w:type="spellEnd"/>
      <w:r w:rsidRPr="00F414DF">
        <w:rPr>
          <w:sz w:val="24"/>
          <w:szCs w:val="24"/>
        </w:rPr>
        <w:t xml:space="preserve"> е обвързан с Цел 3: Намаляване на неравенствата от Националната програма за развитие на България 2030 и се използва за статистическа характеристика на разпределението на разполагаемия доход между бедните и богатите в едно общество. Приема се, че той изразява тяхната неравномерност, като стойността 0 показва пълна еквивалентност или равнопоставеност, а стойност 100 – абсолютната ѝ липса.</w:t>
      </w:r>
      <w:r w:rsidRPr="00F414DF">
        <w:rPr>
          <w:sz w:val="24"/>
          <w:szCs w:val="24"/>
          <w:lang w:val="ru-RU"/>
        </w:rPr>
        <w:t xml:space="preserve"> </w:t>
      </w:r>
    </w:p>
    <w:p w:rsidR="00EB3B7A" w:rsidRPr="00F414DF" w:rsidRDefault="00EB3B7A" w:rsidP="00EB3B7A">
      <w:pPr>
        <w:spacing w:before="0" w:after="0"/>
        <w:jc w:val="both"/>
        <w:rPr>
          <w:sz w:val="24"/>
          <w:szCs w:val="24"/>
        </w:rPr>
      </w:pPr>
      <w:r w:rsidRPr="00F414DF">
        <w:rPr>
          <w:sz w:val="24"/>
          <w:szCs w:val="24"/>
        </w:rPr>
        <w:t>Индикатор „</w:t>
      </w:r>
      <w:r w:rsidRPr="00F414DF">
        <w:rPr>
          <w:i/>
          <w:sz w:val="24"/>
          <w:szCs w:val="24"/>
        </w:rPr>
        <w:t>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w:t>
      </w:r>
      <w:r w:rsidRPr="00F414DF">
        <w:rPr>
          <w:sz w:val="24"/>
          <w:szCs w:val="24"/>
        </w:rPr>
        <w:t>“. Регистърът на социалните предприятия се поддържа и се извършва периодичен мониторинг по показатели. Актуализирана е страницата по социална икономика. Изготвен е анализ на вписаните социални предприятия в Регистъра, съобразно Методиката за оценка на социалната добавена стойност, произвеждана от дейността им и още един анализ към края на годината. Изготвен е и анализ с актуална статистика относно изпълнение на критерия „наемане на хора от уязвими групи“ като част от статута на социалното предприятие.</w:t>
      </w:r>
    </w:p>
    <w:p w:rsidR="001A5534" w:rsidRDefault="004940DD"/>
    <w:sectPr w:rsidR="001A5534" w:rsidSect="009A2296">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A09" w:rsidRDefault="00057A09" w:rsidP="00EB3B7A">
      <w:pPr>
        <w:spacing w:before="0" w:after="0"/>
      </w:pPr>
      <w:r>
        <w:separator/>
      </w:r>
    </w:p>
  </w:endnote>
  <w:endnote w:type="continuationSeparator" w:id="0">
    <w:p w:rsidR="00057A09" w:rsidRDefault="00057A09" w:rsidP="00EB3B7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0" w:usb1="08070000" w:usb2="00000010" w:usb3="00000000" w:csb0="00020000" w:csb1="00000000"/>
  </w:font>
  <w:font w:name="Batang">
    <w:altName w:val="바탕"/>
    <w:panose1 w:val="02030600000101010101"/>
    <w:charset w:val="81"/>
    <w:family w:val="auto"/>
    <w:pitch w:val="fixed"/>
    <w:sig w:usb0="00000000"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394087"/>
      <w:docPartObj>
        <w:docPartGallery w:val="Page Numbers (Bottom of Page)"/>
        <w:docPartUnique/>
      </w:docPartObj>
    </w:sdtPr>
    <w:sdtEndPr>
      <w:rPr>
        <w:noProof/>
      </w:rPr>
    </w:sdtEndPr>
    <w:sdtContent>
      <w:p w:rsidR="009A2296" w:rsidRDefault="009A2296">
        <w:pPr>
          <w:pStyle w:val="Footer"/>
          <w:jc w:val="right"/>
        </w:pPr>
        <w:r>
          <w:fldChar w:fldCharType="begin"/>
        </w:r>
        <w:r>
          <w:instrText xml:space="preserve"> PAGE   \* MERGEFORMAT </w:instrText>
        </w:r>
        <w:r>
          <w:fldChar w:fldCharType="separate"/>
        </w:r>
        <w:r w:rsidR="004940DD">
          <w:rPr>
            <w:noProof/>
          </w:rPr>
          <w:t>19</w:t>
        </w:r>
        <w:r>
          <w:rPr>
            <w:noProof/>
          </w:rPr>
          <w:fldChar w:fldCharType="end"/>
        </w:r>
      </w:p>
    </w:sdtContent>
  </w:sdt>
  <w:p w:rsidR="009A2296" w:rsidRDefault="009A2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A09" w:rsidRDefault="00057A09" w:rsidP="00EB3B7A">
      <w:pPr>
        <w:spacing w:before="0" w:after="0"/>
      </w:pPr>
      <w:r>
        <w:separator/>
      </w:r>
    </w:p>
  </w:footnote>
  <w:footnote w:type="continuationSeparator" w:id="0">
    <w:p w:rsidR="00057A09" w:rsidRDefault="00057A09" w:rsidP="00EB3B7A">
      <w:pPr>
        <w:spacing w:before="0" w:after="0"/>
      </w:pPr>
      <w:r>
        <w:continuationSeparator/>
      </w:r>
    </w:p>
  </w:footnote>
  <w:footnote w:id="1">
    <w:p w:rsidR="00EB3B7A" w:rsidRPr="00AB4C9C" w:rsidRDefault="00EB3B7A" w:rsidP="00EB3B7A">
      <w:pPr>
        <w:pStyle w:val="FootnoteText"/>
      </w:pPr>
      <w:r>
        <w:rPr>
          <w:rStyle w:val="FootnoteReference"/>
        </w:rPr>
        <w:footnoteRef/>
      </w:r>
      <w:r>
        <w:t xml:space="preserve"> К</w:t>
      </w:r>
      <w:r w:rsidRPr="00AB4C9C">
        <w:t xml:space="preserve">оефициент на честота </w:t>
      </w:r>
      <w:r>
        <w:t>-</w:t>
      </w:r>
      <w:r w:rsidRPr="00AB4C9C">
        <w:t xml:space="preserve"> брой ТЗ спрямо ср. </w:t>
      </w:r>
      <w:proofErr w:type="spellStart"/>
      <w:r w:rsidRPr="00AB4C9C">
        <w:t>спис</w:t>
      </w:r>
      <w:proofErr w:type="spellEnd"/>
      <w:r w:rsidRPr="00AB4C9C">
        <w:t xml:space="preserve">. бр. </w:t>
      </w:r>
      <w:proofErr w:type="spellStart"/>
      <w:r w:rsidRPr="00AB4C9C">
        <w:t>осигур</w:t>
      </w:r>
      <w:proofErr w:type="spellEnd"/>
      <w:r w:rsidRPr="00AB4C9C">
        <w:t>. за ТЗ*1000</w:t>
      </w:r>
    </w:p>
  </w:footnote>
  <w:footnote w:id="2">
    <w:p w:rsidR="00F06FDE" w:rsidRDefault="00F06FDE" w:rsidP="00242739">
      <w:pPr>
        <w:pStyle w:val="FootnoteText"/>
        <w:ind w:firstLine="567"/>
        <w:jc w:val="both"/>
      </w:pPr>
      <w:r>
        <w:rPr>
          <w:rStyle w:val="FootnoteReference"/>
        </w:rPr>
        <w:footnoteRef/>
      </w:r>
      <w:r>
        <w:t xml:space="preserve"> </w:t>
      </w:r>
      <w:r>
        <w:t xml:space="preserve">1 993 </w:t>
      </w:r>
      <w:r w:rsidRPr="00943439">
        <w:t xml:space="preserve">средномесечен брой </w:t>
      </w:r>
      <w:r>
        <w:t xml:space="preserve">деца, получили финансова подкрепа по </w:t>
      </w:r>
      <w:proofErr w:type="spellStart"/>
      <w:r>
        <w:t>ППЗЗДет</w:t>
      </w:r>
      <w:proofErr w:type="spellEnd"/>
      <w:r>
        <w:t xml:space="preserve">., включително настанени в </w:t>
      </w:r>
      <w:r w:rsidRPr="00943439">
        <w:t>приемни родители със сключен договор с дирекции „Социално подпомагане“ и 1</w:t>
      </w:r>
      <w:r>
        <w:t> 441</w:t>
      </w:r>
      <w:r w:rsidRPr="00943439">
        <w:t xml:space="preserve"> средномесечен брой </w:t>
      </w:r>
      <w:r>
        <w:t xml:space="preserve">деца, настанени в професионални </w:t>
      </w:r>
      <w:r w:rsidRPr="00943439">
        <w:t>приемни семейства със сключен договор с общините</w:t>
      </w:r>
      <w:r>
        <w:t xml:space="preserve">, получили </w:t>
      </w:r>
      <w:r w:rsidRPr="00D66001">
        <w:t xml:space="preserve">финансова подкрепа по </w:t>
      </w:r>
      <w:proofErr w:type="spellStart"/>
      <w:r w:rsidRPr="00D66001">
        <w:t>ППЗЗДет</w:t>
      </w:r>
      <w:proofErr w:type="spellEnd"/>
      <w:r w:rsidRPr="00D6600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55568"/>
    <w:multiLevelType w:val="hybridMultilevel"/>
    <w:tmpl w:val="ED684C3E"/>
    <w:lvl w:ilvl="0" w:tplc="968E52C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 w15:restartNumberingAfterBreak="0">
    <w:nsid w:val="1E4D2510"/>
    <w:multiLevelType w:val="hybridMultilevel"/>
    <w:tmpl w:val="912CA7D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0FF689D"/>
    <w:multiLevelType w:val="hybridMultilevel"/>
    <w:tmpl w:val="6E507B56"/>
    <w:lvl w:ilvl="0" w:tplc="96025FF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735267A"/>
    <w:multiLevelType w:val="hybridMultilevel"/>
    <w:tmpl w:val="ACC20D28"/>
    <w:lvl w:ilvl="0" w:tplc="DD08306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42A31D68"/>
    <w:multiLevelType w:val="hybridMultilevel"/>
    <w:tmpl w:val="5088E416"/>
    <w:lvl w:ilvl="0" w:tplc="F494810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15:restartNumberingAfterBreak="0">
    <w:nsid w:val="4D992AC9"/>
    <w:multiLevelType w:val="hybridMultilevel"/>
    <w:tmpl w:val="2C54DADC"/>
    <w:lvl w:ilvl="0" w:tplc="91D881F6">
      <w:numFmt w:val="bullet"/>
      <w:lvlText w:val="-"/>
      <w:lvlJc w:val="left"/>
      <w:pPr>
        <w:ind w:left="927" w:hanging="360"/>
      </w:pPr>
      <w:rPr>
        <w:rFonts w:ascii="Times New Roman" w:eastAsiaTheme="minorHAns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62E95EA7"/>
    <w:multiLevelType w:val="hybridMultilevel"/>
    <w:tmpl w:val="CB621986"/>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15:restartNumberingAfterBreak="0">
    <w:nsid w:val="64ED2212"/>
    <w:multiLevelType w:val="hybridMultilevel"/>
    <w:tmpl w:val="9B5C88F2"/>
    <w:lvl w:ilvl="0" w:tplc="DBA84B20">
      <w:numFmt w:val="bullet"/>
      <w:lvlText w:val="-"/>
      <w:lvlJc w:val="left"/>
      <w:pPr>
        <w:ind w:left="927" w:hanging="360"/>
      </w:pPr>
      <w:rPr>
        <w:rFonts w:ascii="Times New Roman" w:eastAsiaTheme="minorHAns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8" w15:restartNumberingAfterBreak="0">
    <w:nsid w:val="72CD79C4"/>
    <w:multiLevelType w:val="hybridMultilevel"/>
    <w:tmpl w:val="A558BEEE"/>
    <w:lvl w:ilvl="0" w:tplc="77B82FC2">
      <w:start w:val="1"/>
      <w:numFmt w:val="decimal"/>
      <w:lvlText w:val="%1."/>
      <w:lvlJc w:val="left"/>
      <w:pPr>
        <w:ind w:left="1068"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9" w15:restartNumberingAfterBreak="0">
    <w:nsid w:val="7C337A48"/>
    <w:multiLevelType w:val="hybridMultilevel"/>
    <w:tmpl w:val="D660D57C"/>
    <w:lvl w:ilvl="0" w:tplc="968E52C6">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15:restartNumberingAfterBreak="0">
    <w:nsid w:val="7DEA575D"/>
    <w:multiLevelType w:val="hybridMultilevel"/>
    <w:tmpl w:val="5DA01F0C"/>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1"/>
  </w:num>
  <w:num w:numId="2">
    <w:abstractNumId w:val="8"/>
  </w:num>
  <w:num w:numId="3">
    <w:abstractNumId w:val="4"/>
  </w:num>
  <w:num w:numId="4">
    <w:abstractNumId w:val="3"/>
  </w:num>
  <w:num w:numId="5">
    <w:abstractNumId w:val="2"/>
  </w:num>
  <w:num w:numId="6">
    <w:abstractNumId w:val="0"/>
  </w:num>
  <w:num w:numId="7">
    <w:abstractNumId w:val="7"/>
  </w:num>
  <w:num w:numId="8">
    <w:abstractNumId w:val="9"/>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7A"/>
    <w:rsid w:val="00057A09"/>
    <w:rsid w:val="00077E99"/>
    <w:rsid w:val="000A4066"/>
    <w:rsid w:val="00190462"/>
    <w:rsid w:val="00242739"/>
    <w:rsid w:val="002527DA"/>
    <w:rsid w:val="002A4416"/>
    <w:rsid w:val="00375171"/>
    <w:rsid w:val="003B1042"/>
    <w:rsid w:val="004100D4"/>
    <w:rsid w:val="00417C15"/>
    <w:rsid w:val="0045198F"/>
    <w:rsid w:val="004940DD"/>
    <w:rsid w:val="00597AAA"/>
    <w:rsid w:val="006D791C"/>
    <w:rsid w:val="006F561E"/>
    <w:rsid w:val="00715E79"/>
    <w:rsid w:val="00774AA2"/>
    <w:rsid w:val="007F3B38"/>
    <w:rsid w:val="008F65EB"/>
    <w:rsid w:val="009A2296"/>
    <w:rsid w:val="00A94F0E"/>
    <w:rsid w:val="00BD664B"/>
    <w:rsid w:val="00CD7F11"/>
    <w:rsid w:val="00D95FC6"/>
    <w:rsid w:val="00D95FD4"/>
    <w:rsid w:val="00EB3B7A"/>
    <w:rsid w:val="00ED49C1"/>
    <w:rsid w:val="00F06FDE"/>
    <w:rsid w:val="00F40D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0856B"/>
  <w15:chartTrackingRefBased/>
  <w15:docId w15:val="{3FA43F71-6CCF-4E49-9CF2-B8CB575D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B7A"/>
    <w:pPr>
      <w:spacing w:before="120" w:after="120" w:line="240" w:lineRule="auto"/>
      <w:ind w:firstLine="567"/>
    </w:pPr>
    <w:rPr>
      <w:rFonts w:ascii="Times New Roman" w:eastAsia="Times New Roman" w:hAnsi="Times New Roman" w:cs="Times New Roman"/>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Paragraph1 Char,List1 Char,List Paragraph11 Char,Colorful List - Accent 11 Char,List Paragraph111 Char,List Paragraph1111 Char,List Paragraph compact Char,Normal bullet 2 Char,Paragraphe de liste 2 Char,Reference list Char"/>
    <w:link w:val="ListParagraph"/>
    <w:uiPriority w:val="34"/>
    <w:qFormat/>
    <w:locked/>
    <w:rsid w:val="00EB3B7A"/>
    <w:rPr>
      <w:rFonts w:ascii="Cambria" w:eastAsia="MS Minngs" w:hAnsi="Cambria"/>
      <w:sz w:val="24"/>
      <w:szCs w:val="24"/>
      <w:lang w:val="en-US"/>
    </w:rPr>
  </w:style>
  <w:style w:type="paragraph" w:styleId="ListParagraph">
    <w:name w:val="List Paragraph"/>
    <w:aliases w:val="List Paragraph1,List1,List Paragraph11,Colorful List - Accent 11,List Paragraph111,List Paragraph1111,List Paragraph compact,Normal bullet 2,Paragraphe de liste 2,Reference list,Bullet list,Numbered List,Paragraph,text bullet,ПАРАГРАФ"/>
    <w:basedOn w:val="Normal"/>
    <w:link w:val="ListParagraphChar"/>
    <w:uiPriority w:val="34"/>
    <w:qFormat/>
    <w:rsid w:val="00EB3B7A"/>
    <w:pPr>
      <w:spacing w:before="0" w:after="0"/>
      <w:ind w:left="720" w:firstLine="0"/>
      <w:contextualSpacing/>
    </w:pPr>
    <w:rPr>
      <w:rFonts w:ascii="Cambria" w:eastAsia="MS Minngs" w:hAnsi="Cambria" w:cstheme="minorBidi"/>
      <w:sz w:val="24"/>
      <w:szCs w:val="24"/>
      <w:lang w:val="en-US" w:eastAsia="en-US"/>
    </w:r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n,fn Char"/>
    <w:basedOn w:val="Normal"/>
    <w:link w:val="FootnoteTextChar"/>
    <w:uiPriority w:val="99"/>
    <w:rsid w:val="00EB3B7A"/>
    <w:pPr>
      <w:autoSpaceDN w:val="0"/>
      <w:spacing w:before="0" w:after="0"/>
      <w:ind w:firstLine="0"/>
    </w:p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basedOn w:val="DefaultParagraphFont"/>
    <w:link w:val="FootnoteText"/>
    <w:uiPriority w:val="99"/>
    <w:rsid w:val="00EB3B7A"/>
    <w:rPr>
      <w:rFonts w:ascii="Times New Roman" w:eastAsia="Times New Roman" w:hAnsi="Times New Roman" w:cs="Times New Roman"/>
      <w:sz w:val="20"/>
      <w:szCs w:val="20"/>
      <w:lang w:eastAsia="bg-BG"/>
    </w:rPr>
  </w:style>
  <w:style w:type="character" w:styleId="FootnoteReference">
    <w:name w:val="footnote reference"/>
    <w:aliases w:val="Footnote,Footnote symbol,SUPERS,BVI fnr,Footnote reference number,Times 10 Point,Exposant 3 Point,Ref,de nota al pie,note TESI,EN Footnote text,EN Footnote Reference,Footnote Reference Number,E FNZ,Appel note de bas de p,Nota,BVI fnr1"/>
    <w:link w:val="ZFootnoteText"/>
    <w:qFormat/>
    <w:rsid w:val="00EB3B7A"/>
    <w:rPr>
      <w:vertAlign w:val="superscript"/>
    </w:rPr>
  </w:style>
  <w:style w:type="paragraph" w:customStyle="1" w:styleId="ZFootnoteText">
    <w:name w:val="Z_Footnote Text"/>
    <w:basedOn w:val="Normal"/>
    <w:link w:val="FootnoteReference"/>
    <w:uiPriority w:val="99"/>
    <w:rsid w:val="00EB3B7A"/>
    <w:pPr>
      <w:spacing w:before="0" w:after="160" w:line="240" w:lineRule="exact"/>
      <w:ind w:firstLine="0"/>
      <w:jc w:val="both"/>
    </w:pPr>
    <w:rPr>
      <w:rFonts w:asciiTheme="minorHAnsi" w:eastAsiaTheme="minorHAnsi" w:hAnsiTheme="minorHAnsi" w:cstheme="minorBidi"/>
      <w:sz w:val="22"/>
      <w:szCs w:val="22"/>
      <w:vertAlign w:val="superscript"/>
      <w:lang w:eastAsia="en-US"/>
    </w:rPr>
  </w:style>
  <w:style w:type="paragraph" w:styleId="Header">
    <w:name w:val="header"/>
    <w:basedOn w:val="Normal"/>
    <w:link w:val="HeaderChar"/>
    <w:uiPriority w:val="99"/>
    <w:unhideWhenUsed/>
    <w:rsid w:val="009A2296"/>
    <w:pPr>
      <w:tabs>
        <w:tab w:val="center" w:pos="4536"/>
        <w:tab w:val="right" w:pos="9072"/>
      </w:tabs>
      <w:spacing w:before="0" w:after="0"/>
    </w:pPr>
  </w:style>
  <w:style w:type="character" w:customStyle="1" w:styleId="HeaderChar">
    <w:name w:val="Header Char"/>
    <w:basedOn w:val="DefaultParagraphFont"/>
    <w:link w:val="Header"/>
    <w:uiPriority w:val="99"/>
    <w:rsid w:val="009A2296"/>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9A2296"/>
    <w:pPr>
      <w:tabs>
        <w:tab w:val="center" w:pos="4536"/>
        <w:tab w:val="right" w:pos="9072"/>
      </w:tabs>
      <w:spacing w:before="0" w:after="0"/>
    </w:pPr>
  </w:style>
  <w:style w:type="character" w:customStyle="1" w:styleId="FooterChar">
    <w:name w:val="Footer Char"/>
    <w:basedOn w:val="DefaultParagraphFont"/>
    <w:link w:val="Footer"/>
    <w:uiPriority w:val="99"/>
    <w:rsid w:val="009A2296"/>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40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19</Pages>
  <Words>9422</Words>
  <Characters>53712</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Stanulova</dc:creator>
  <cp:keywords/>
  <dc:description/>
  <cp:lastModifiedBy>Aneta Stanulova</cp:lastModifiedBy>
  <cp:revision>16</cp:revision>
  <dcterms:created xsi:type="dcterms:W3CDTF">2025-03-12T10:21:00Z</dcterms:created>
  <dcterms:modified xsi:type="dcterms:W3CDTF">2025-03-17T14:52:00Z</dcterms:modified>
</cp:coreProperties>
</file>